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50"/>
        <w:jc w:val="center"/>
      </w:pPr>
      <w:r>
        <w:rPr>
          <w:rFonts w:ascii="Leelawadee UI" w:cs="Leelawadee UI" w:eastAsia="Leelawadee UI" w:hAnsi="Leelawadee UI"/>
          <w:b/>
          <w:bCs/>
          <w:color w:val="BC5411"/>
          <w:sz w:val="64"/>
          <w:szCs w:val="64"/>
        </w:rPr>
        <w:t xml:space="preserve">NeuroMotion AI</w:t>
      </w:r>
    </w:p>
    <w:p>
      <w:pPr>
        <w:spacing w:after="180"/>
        <w:jc w:val="center"/>
      </w:pPr>
      <w:r>
        <w:rPr>
          <w:rFonts w:ascii="Leelawadee UI" w:cs="Leelawadee UI" w:eastAsia="Leelawadee UI" w:hAnsi="Leelawadee UI"/>
          <w:color w:val="233A4D"/>
          <w:sz w:val="26"/>
          <w:szCs w:val="26"/>
        </w:rPr>
        <w:t xml:space="preserve">ระบบคัดกรองความเสี่ยงโรคทางระบบประสาทเบื้องต้น</w:t>
      </w:r>
    </w:p>
    <w:p>
      <w:pPr>
        <w:spacing w:after="420"/>
        <w:jc w:val="center"/>
      </w:pPr>
      <w:r>
        <w:rPr>
          <w:rFonts w:ascii="Leelawadee UI" w:cs="Leelawadee UI" w:eastAsia="Leelawadee UI" w:hAnsi="Leelawadee UI"/>
          <w:b/>
          <w:bCs/>
          <w:color w:val="1B6CA8"/>
          <w:sz w:val="23"/>
          <w:szCs w:val="23"/>
        </w:rPr>
        <w:t xml:space="preserve">คู่มือการใช้งานพร้อมภาพประกอบ · เวอร์ชัน 2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เข้าสู่ระบบ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/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หน้าหลัก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/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ทำแบบทดสอบ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/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ดูผล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/>
            </w:r>
          </w:p>
        </w:tc>
      </w:tr>
    </w:tbl>
    <w:p>
      <w:pPr>
        <w:spacing w:after="260"/>
      </w:pPr>
    </w:p>
    <w:p>
      <w:pPr>
        <w:spacing w:after="40"/>
        <w:jc w:val="center"/>
      </w:pPr>
      <w:r>
        <w:rPr>
          <w:rFonts w:ascii="Leelawadee UI" w:cs="Leelawadee UI" w:eastAsia="Leelawadee UI" w:hAnsi="Leelawadee UI"/>
          <w:color w:val="64727E"/>
          <w:sz w:val="18"/>
          <w:szCs w:val="18"/>
        </w:rPr>
        <w:t xml:space="preserve">Progressive Web App · React 18 + TypeScript · ประมวลผลบนเครื่องผู้ใช้ทั้งหมด</w:t>
      </w:r>
    </w:p>
    <w:p>
      <w:pPr>
        <w:jc w:val="center"/>
      </w:pPr>
      <w:r>
        <w:rPr>
          <w:rFonts w:ascii="Leelawadee UI" w:cs="Leelawadee UI" w:eastAsia="Leelawadee UI" w:hAnsi="Leelawadee UI"/>
          <w:color w:val="64727E"/>
          <w:sz w:val="18"/>
          <w:szCs w:val="18"/>
        </w:rPr>
        <w:t xml:space="preserve">สอดคล้องกับ พ.ร.บ. คุ้มครองข้อมูลส่วนบุคคล (PDPA)</w:t>
      </w:r>
    </w:p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สารบัญ</w:t>
      </w:r>
    </w:p>
    <w:p>
      <w:pPr>
        <w:spacing w:after="80"/>
      </w:pP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6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เกี่ยวกับภาพประกอบในเอกสารนี้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ภาพหน้าจอทั้งหมดเป็นภาพจากแอปพลิเคชันจริงที่ทำงานอยู่ ไม่ใช่ภาพจำลอง ถ่ายที่ขนาดหน้าจอโทรศัพท์จริง (390 พิกเซล) ยกเว้นส่วนที่แสดงภาพจากกล้อง ซึ่งถูกปิดทับด้วยกรอบสีเทาเพื่อความเป็นส่วนตัว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1. ภาพรวมของระบบ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NeuroMotion AI คือเว็บแอปพลิเคชัน (PWA) สำหรับคัดกรองความเสี่ยงเบื้องต้นของโรคทางระบบประสาท โดยเน้นกลุ่มอาการที่เกี่ยวกับการสั่นและการเคลื่อนไหว ผู้ใช้ทำแบบทดสอบสั้น ๆ 5 รายการผ่านโทรศัพท์มือถือ ระบบคำนวณค่าชี้วัดจากการเคลื่อนไหวจริง แล้วสรุปเป็นระดับความเสี่ยงพร้อมกราฟแนวโน้มย้อนหลัง</w:t>
      </w:r>
    </w:p>
    <w:tbl>
      <w:tblPr>
        <w:tblW w:type="dxa" w:w="9360"/>
        <w:tblBorders>
          <w:top w:val="single" w:color="FBEAEA" w:sz="2"/>
          <w:left w:val="single" w:color="B23A3A" w:sz="18"/>
          <w:bottom w:val="single" w:color="FBEAEA" w:sz="2"/>
          <w:right w:val="single" w:color="FBEAE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B23A3A"/>
                <w:sz w:val="20"/>
                <w:szCs w:val="20"/>
              </w:rPr>
              <w:t xml:space="preserve">ข้อความสำคัญที่ต้องระบุเสมอ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ผลลัพธ์ทั้งหมดเป็น "การคัดกรองเบื้องต้น" ไม่ใช่ "การวินิจฉัยโรค" ระบบนี้ไม่ทดแทนการตรวจโดยแพทย์ และค่าเกณฑ์ทั้งหมดยังไม่ผ่านการตรวจสอบความแม่นยำทางคลินิก</w:t>
            </w:r>
          </w:p>
        </w:tc>
      </w:tr>
    </w:tbl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1.1 ภาพรวมการใช้งานทั้งหมด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8585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8585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8585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8585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8585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เข้าสู่ระบบ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เลือกประเภทผู้ใช้ + วันเกิด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ให้ความยินยอม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PDPA — ติ๊ก 2 ช่องแยกกัน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หน้าหลัก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ภารกิจวันนี้ + รายการทดสอบ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ทำแบบทดสอบ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ทำครบ 5 รายการ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5.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ดูผล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คะแนน ระดับเสี่ยง แนวโน้ม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1.2 เทคโนโลยีที่ใช้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ส่วนประกอบ</w:t>
            </w:r>
          </w:p>
        </w:tc>
        <w:tc>
          <w:tcPr>
            <w:tcW w:type="dxa" w:w="33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เทคโนโลยี</w:t>
            </w:r>
          </w:p>
        </w:tc>
        <w:tc>
          <w:tcPr>
            <w:tcW w:type="dxa" w:w="39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ส่วนติดต่อผู้ใช้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โครงสร้างแอปและการแสดงผล</w:t>
            </w:r>
          </w:p>
        </w:tc>
      </w:tr>
      <w:tr>
        <w:tc>
          <w:tcPr>
            <w:tcW w:type="dxa" w:w="21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การออกแบบ</w:t>
            </w:r>
          </w:p>
        </w:tc>
        <w:tc>
          <w:tcPr>
            <w:tcW w:type="dxa" w:w="33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Tailwind CSS v4 (design tokens)</w:t>
            </w:r>
          </w:p>
        </w:tc>
        <w:tc>
          <w:tcPr>
            <w:tcW w:type="dxa" w:w="39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สี ตัวอักษร ระยะห่าง เป็นระบบเดียวกัน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กราฟ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Recharts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กราฟแนวโน้มคะแนนความเสี่ยง</w:t>
            </w:r>
          </w:p>
        </w:tc>
      </w:tr>
      <w:tr>
        <w:tc>
          <w:tcPr>
            <w:tcW w:type="dxa" w:w="21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วาดก้นหอย / เคาะนิ้ว</w:t>
            </w:r>
          </w:p>
        </w:tc>
        <w:tc>
          <w:tcPr>
            <w:tcW w:type="dxa" w:w="33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HTML5 Canvas + Pointer Events</w:t>
            </w:r>
          </w:p>
        </w:tc>
        <w:tc>
          <w:tcPr>
            <w:tcW w:type="dxa" w:w="39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รับการสัมผัสและวาดเส้นแบบเรียลไทม์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ตรวจใบหน้า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@mediapipe/tasks-vision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ตรวจจับจุดสังเกตบนใบหน้าในเครื่อง</w:t>
            </w:r>
          </w:p>
        </w:tc>
      </w:tr>
      <w:tr>
        <w:tc>
          <w:tcPr>
            <w:tcW w:type="dxa" w:w="21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ตรวจเสียง</w:t>
            </w:r>
          </w:p>
        </w:tc>
        <w:tc>
          <w:tcPr>
            <w:tcW w:type="dxa" w:w="33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Web Audio API</w:t>
            </w:r>
          </w:p>
        </w:tc>
        <w:tc>
          <w:tcPr>
            <w:tcW w:type="dxa" w:w="39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บันทึกและวิเคราะห์คลื่นเสียง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ตรวจการสั่น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DeviceMotion API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อ่านค่าความเร่งจากเซ็นเซอร์</w:t>
            </w:r>
          </w:p>
        </w:tc>
      </w:tr>
      <w:tr>
        <w:tc>
          <w:tcPr>
            <w:tcW w:type="dxa" w:w="21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วิเคราะห์ความถี่</w:t>
            </w:r>
          </w:p>
        </w:tc>
        <w:tc>
          <w:tcPr>
            <w:tcW w:type="dxa" w:w="33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FFT (เขียนเอง, radix-2)</w:t>
            </w:r>
          </w:p>
        </w:tc>
        <w:tc>
          <w:tcPr>
            <w:tcW w:type="dxa" w:w="39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หาพลังงานย่านความถี่ 4–7 Hz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จัดเก็บข้อมูล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localStorage / IndexedDB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เก็บผลไว้ในเครื่องผู้ใช้เท่านั้น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จุดสำคัญด้านสถาปัตยกรรม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ทุกการประมวลผล รวมถึงภาพจากกล้องและเสียงจากไมโครโฟน เกิดขึ้นบนเครื่องของผู้ใช้ทั้งหมด ระบบไม่ส่งภาพหรือเสียงดิบออกไปยังเซิร์ฟเวอร์ใด 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2. เริ่มต้นใช้งาน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ตั้งแต่เปิดแอปครั้งแรกจนถึงหน้าหลัก — ทำครั้งเดียว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หน้าเปิดแอป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เปิดจากลิงก์ ไม่ต้องติดตั้งจาก App Store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เข้าสู่ระบบ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เลือกประเภทผู้ใช้ แล้วเลื่อนเลือกวันเกิด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ปรับขนาดตัวอักษร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เลือกได้ 3 ระดับ ขยายทั้งแอป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ความยินยอม PDPA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ช่องติ๊ก 2 ช่อง ไม่ติ๊กล่วงหน้า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2.1 ข้อมูลที่ระบบขอ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ข้อมูล</w:t>
            </w:r>
          </w:p>
        </w:tc>
        <w:tc>
          <w:tcPr>
            <w:tcW w:type="dxa" w:w="17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บังคับ?</w:t>
            </w:r>
          </w:p>
        </w:tc>
        <w:tc>
          <w:tcPr>
            <w:tcW w:type="dxa" w:w="50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ใช้ทำอะไร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ประเภทผู้ใช้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ปรับข้อความและเส้นทางการใช้งาน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วันเกิด (คำนวณอายุ)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บังคับ</w:t>
            </w:r>
          </w:p>
        </w:tc>
        <w:tc>
          <w:tcPr>
            <w:tcW w:type="dxa" w:w="50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ปรับเกณฑ์การให้คะแนนตามช่วงวัย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ไม่บังคับ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ใช้ทักทายบนหน้าหลักเท่านั้น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เลขบัตรประชาชน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ไม่บังคับ</w:t>
            </w:r>
          </w:p>
        </w:tc>
        <w:tc>
          <w:tcPr>
            <w:tcW w:type="dxa" w:w="50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เฉพาะผู้ป่วย สำหรับอนาคต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รูปโปรไฟล์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ไม่บังคับ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แสดงบนหน้าหลัก เก็บในเครื่องเท่านั้น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ทำไมไม่บังคับสมัครบัญชี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การบังคับสมัครบัญชีเป็นอุปสรรคสำคัญสำหรับผู้สูงอายุ และขัดกับหลัก "เก็บข้อมูลเท่าที่จำเป็น" ตาม PDPA ผู้ใช้จึงเริ่มใช้งานได้ทันทีโดยไม่ต้องสมัคร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3. หน้าจอหลักทั้งหมด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แอปแบ่งเป็น 3 แท็บที่แถบด้านล่าง สลับได้ตลอดเวลา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แท็บ "หน้าหลัก"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ภารกิจวันนี้ · ผลล่าสุด · รายการทดสอบ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แท็บ "ผลของฉัน"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คะแนนรวม · ระดับเสี่ยง · กราฟ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แท็บ "ตั้งค่า"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บัญชี · การอ่าน · การลบข้อมูล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ปฏิทินการทดสอบ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วันที่ทำแล้วขึ้นสีเขียว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3.1 หน้าหลักแสดงอะไรบ้าง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คำทักทายและวันที่ — แสดงชื่อเฉพาะเมื่อผู้ใช้กรอกไว้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ภารกิจวันนี้ — ความคืบหน้า x/5 พร้อมปุ่มพาไปยังแบบทดสอบถัดไปที่ยังไม่ได้ทำ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ผลล่าสุด — คะแนน ระดับความเสี่ยง และการเปลี่ยนแปลงเทียบกับวันก่อนหน้า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รายการแบบทดสอบ — ทั้ง 5 รายการพร้อมสถานะ แตะเพื่อทำซ้ำได้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สัปดาห์นี้ — แถบ 7 วันย้อนหลัง และปุ่มเปิดปฏิทินเต็มเดือน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3.2 หน้าผลลัพธ์และการปรึกษาแพทย์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ผลแบบเต็ม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คะแนน กราฟ ผลรายรายการ และการแยกกลุ่มอาการ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ปรึกษาแพทย์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สายด่วน สปสช. 1330 และค้นหาโรงพยาบาล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4. แบบทดสอบที่ 1 — วาดก้นหอย</w:t>
      </w:r>
    </w:p>
    <w:p>
      <w:pPr>
        <w:spacing w:after="16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Spiral Tracing · ประมาณ 60 วินาที · น้ำหนัก 30% ของคะแนนรวม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ขั้นตอนทั้งหมดที่ผู้ใช้เห็น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ดูวิธีทำ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ภาพสาธิตการลากจากกลางออกนอก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ทดลองใช้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ลองลากก่อน ยังไม่เก็บคะแนน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นับถอยหลัง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3–2–1 พร้อมภาพตัวอย่าง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เริ่มทดสอบ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แสดงเส้นแม่แบบให้ลากตาม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5.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กำลังลาก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เส้นสีส้มคือเส้นที่ผู้ใช้ลาก พร้อมแถบความคืบหน้า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6.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เสร็จสิ้น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บันทึกผลแล้ว พาไปแบบทดสอบถัดไปอัตโนมัติ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หลักการทำงาน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ระบบสร้างเส้นก้นหอยตามสมการ Archimedean (r = b·θ) แล้วเทียบตำแหน่งนิ้วของผู้ใช้กับเส้นแม่แบบตลอดเส้นทาง โดยแปลงพิกัดเป็นระบบเชิงขั้วรอบจุดศูนย์กลาง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ค่าที่วัดและน้ำหนัก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ค่าที่วัด</w:t>
            </w:r>
          </w:p>
        </w:tc>
        <w:tc>
          <w:tcPr>
            <w:tcW w:type="dxa" w:w="21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น้ำหนัก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ความคลาดเคลื่อนจากเส้น (RMS)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พลังงานการสั่นย่าน 4–7 Hz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ความลื่นไหลของความเร็ว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ความสม่ำเสมอของระยะห่างระหว่างวง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ทำไมย่าน 4–7 Hz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เป็นย่านความถี่ของการสั่นแบบพาร์กินสันตามงานวิจัยที่อ้างอิง ระบบทำ FFT พร้อมหน้าต่าง Hann และการกำจัดแนวโน้มเชิงเส้น เพื่อไม่ให้การลากช้า ๆ ถูกนับเป็นการสั่น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5. แบบทดสอบที่ 2 — เคาะนิ้ว</w:t>
      </w:r>
    </w:p>
    <w:p>
      <w:pPr>
        <w:spacing w:after="16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Finger Tapping · ประมาณ 60 วินาที · น้ำหนัก 25% ของคะแนนรวม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ขั้นตอนทั้งหมดที่ผู้ใช้เห็น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ดูวิธีทำ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ภาพสาธิตการแตะตามจังหวะ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ทดลองใช้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ลองแตะตามเสียง ยังไม่เก็บคะแนน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นับถอยหลัง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3–2–1 ก่อนเริ่มจริง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ช่วงที่ 1/3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แตะตามจังหวะ จุดสีส้มกะพริบพร้อมเสียง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5.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กำลังนับ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แสดงจำนวนครั้งและเวลาที่เหลือแบบเรียลไทม์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6.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ช่วงถัดไป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เปลี่ยนเป็นแตะเร็วสุด มือถนัด แล้วมืออีกข้าง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หลักการทำงาน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อ้างอิงจากแบบประเมิน MDS-UPDRS ข้อ 3.4 ซึ่งเป็นมาตรฐานที่แพทย์ใช้ประเมินโรคพาร์กินสัน แบ่งเป็น 3 ช่วง: แตะตามจังหวะ, แตะเร็วสุดมือถนัด, แตะเร็วสุดมืออีกข้าง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ค่าที่วัดและน้ำหนัก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ค่าที่วัด</w:t>
            </w:r>
          </w:p>
        </w:tc>
        <w:tc>
          <w:tcPr>
            <w:tcW w:type="dxa" w:w="21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น้ำหนัก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อัตราการเคาะ (ครั้ง/วินาที)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ความแปรปรวนของจังหวะ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การเคาะช้าลงเรื่อย ๆ (decrement)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ความไม่สมมาตรระหว่างสองมือ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ความคลาดเคลื่อนจากจังหวะ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ทำไมต้องแตะให้เร็วที่สุดทั้งสองมือ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โรคพาร์กินสันในระยะแรกมักเริ่มที่ร่างกายข้างเดียวก่อน การเปรียบเทียบมือสองข้างจึงเป็นสัญญาณสำคัญ หากวัดมือเดียวจะมองไม่เห็นความไม่สมมาตรนี้เลย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6. แบบทดสอบที่ 3 — ความนิ่งของมือ</w:t>
      </w:r>
    </w:p>
    <w:p>
      <w:pPr>
        <w:spacing w:after="16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Rest &amp; Postural Tremor · ประมาณ 30 วินาที · น้ำหนัก 20% ของคะแนนรวม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ขั้นตอนทั้งหมดที่ผู้ใช้เห็น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ดูวิธีทำ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อธิบายทั้ง 2 ท่า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ทดลองใช้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ลองถือให้นิ่ง ดูลูกกลมตอบสนอง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นับถอยหลัง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3–2–1 ก่อนท่าที่ 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ท่าที่ 1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ยกโทรศัพท์ขึ้นในอากาศ แขนไม่พิง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85950" cy="407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85950" cy="407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85950" cy="407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5.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เปลี่ยนท่า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พักและอธิบายท่าถัดไป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6.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ท่าที่ 2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วางแขนบนโต๊ะหรือตัก ให้ผ่อนคลาย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7.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เสร็จสิ้น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บันทึกผลทั้ง 2 ท่า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หลักการทำงาน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อ่านค่าความเร่งจากเซ็นเซอร์แล้วทำ FFT หาพลังงานย่าน 4–7 Hz การแยกสองท่าคือหัวใจของการแยกโรค: สั่นขณะพักบ่งชี้กลุ่มอาการพาร์กินสัน ส่วนสั่นขณะยกค้างบ่งชี้ Essential Tremor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ค่าที่วัดและน้ำหนัก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ค่าที่วัด</w:t>
            </w:r>
          </w:p>
        </w:tc>
        <w:tc>
          <w:tcPr>
            <w:tcW w:type="dxa" w:w="21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น้ำหนัก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พลังงานการสั่น 4–7 Hz ขณะพัก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พลังงานการสั่น 4–7 Hz ขณะยกค้าง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ความแรงการสั่นขณะพัก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ความแรงการสั่นขณะยกค้าง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FBF3D9" w:sz="2"/>
          <w:left w:val="single" w:color="9C7A10" w:sz="18"/>
          <w:bottom w:val="single" w:color="FBF3D9" w:sz="2"/>
          <w:right w:val="single" w:color="FBF3D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9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9C7A10"/>
                <w:sz w:val="20"/>
                <w:szCs w:val="20"/>
              </w:rPr>
              <w:t xml:space="preserve">อุปกรณ์ที่ไม่มีเซ็นเซอร์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หากอุปกรณ์หรือเบราว์เซอร์ไม่รองรับเซ็นเซอร์ตรวจการเคลื่อนไหว ระบบจะแจ้งและให้ข้ามแบบทดสอบนี้ได้ โดยคะแนนรวมคำนวณจากแบบทดสอบที่ทำจริงเท่านั้น · บน iOS ต้องกดอนุญาตก่อน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7. แบบทดสอบที่ 4 — หันศีรษะ</w:t>
      </w:r>
    </w:p>
    <w:p>
      <w:pPr>
        <w:spacing w:after="16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Head Turn · ประมาณ 30 วินาที · น้ำหนัก 15% ของคะแนนรวม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ขั้นตอนทั้งหมดที่ผู้ใช้เห็น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ดูวิธีทำ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สาธิตการหันซ้าย–ขวา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ทดลองใช้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ลองหันก่อน ตรวจว่ากล้องเห็นใบหน้า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เตรียมระบบ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โหลดระบบวิเคราะห์ใบหน้า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กำลังทดสอบ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หันซ้ายสุด → ขวาสุด → กลับมาตรง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หลักการทำงาน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ใช้ MediaPipe Face Landmarker ตรวจจับจุดสังเกตบนใบหน้าเพื่อคำนวณมุมการหัน (yaw) แบบเรียลไทม์ ป้ายทั้งสองด้านจะติ๊กเมื่อหันถึงมุมที่กำหนดและค้างไว้ครบเวลา ระบบจะยังไม่จบจนกว่าจะหันครบทั้งสามจังหวะ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ค่าที่วัดและน้ำหนัก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ค่าที่วัด</w:t>
            </w:r>
          </w:p>
        </w:tc>
        <w:tc>
          <w:tcPr>
            <w:tcW w:type="dxa" w:w="21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น้ำหนัก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ช่วงการหันศีรษะรวม (องศา)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ความสมมาตรซ้าย–ขวา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ความลื่นไหลของการหัน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FBEAEA" w:sz="2"/>
          <w:left w:val="single" w:color="B23A3A" w:sz="18"/>
          <w:bottom w:val="single" w:color="FBEAEA" w:sz="2"/>
          <w:right w:val="single" w:color="FBEAE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B23A3A"/>
                <w:sz w:val="20"/>
                <w:szCs w:val="20"/>
              </w:rPr>
              <w:t xml:space="preserve">ความเป็นส่วนตัวของภาพใบหน้า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ภาพจากกล้องถูกวิเคราะห์บนเครื่องของผู้ใช้ทั้งหมด ไม่มีการอัปโหลดภาพหรือวิดีโอออกจากเครื่อง และไม่มีการบันทึกภาพไว้ · กรอบสีเทาในภาพประกอบคือตำแหน่งภาพจากกล้อง ถูกปิดทับในเอกสารนี้เพื่อความเป็นส่วนตัว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8. แบบทดสอบที่ 5 — เสียงพูด</w:t>
      </w:r>
    </w:p>
    <w:p>
      <w:pPr>
        <w:spacing w:after="16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Sustained Vowel · ประมาณ 15 วินาที · น้ำหนัก 10% ของคะแนนรวม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ขั้นตอนทั้งหมดที่ผู้ใช้เห็น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ดูวิธีทำ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สาธิตการออกเสียง "อาาา"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ทดลองใช้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ลองออกเสียง ดูแถบความดังตอบสนอง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นับถอยหลัง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3–2–1 ก่อนเริ่มบันทึก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กำลังบันทึก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แถบความดัง + คลื่นความถี่ + เวลาถอยหลัง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หลักการทำงาน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แถบวัดความดังมีขีดเป้าหมายสีเขียวบอกว่าต้องออกเสียงดังถึงระดับใด พร้อมสถานะ 3 แบบ คือ เบาไป / ดังพอดี / ดังเกินไป สิ่งนี้จำเป็นเพราะถ้าเสียงเบาเกินไป ระบบจะตรวจไม่พบเสียงจริงและต้องทำใหม่ทั้งหมด</w:t>
      </w:r>
    </w:p>
    <w:p>
      <w:pPr>
        <w:pStyle w:val="Heading3"/>
        <w:spacing w:after="100" w:before="200"/>
      </w:pPr>
      <w:r>
        <w:rPr>
          <w:rFonts w:ascii="Leelawadee UI" w:cs="Leelawadee UI" w:eastAsia="Leelawadee UI" w:hAnsi="Leelawadee UI"/>
          <w:b/>
          <w:bCs/>
          <w:color w:val="1B6CA8"/>
          <w:sz w:val="22"/>
          <w:szCs w:val="22"/>
        </w:rPr>
        <w:t xml:space="preserve">ค่าที่วัดและน้ำหนัก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ค่าที่วัด</w:t>
            </w:r>
          </w:p>
        </w:tc>
        <w:tc>
          <w:tcPr>
            <w:tcW w:type="dxa" w:w="21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น้ำหนัก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Jitter — ความสั่นของระดับเสียง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72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Shimmer — ความสั่นของความดัง</w:t>
            </w:r>
          </w:p>
        </w:tc>
        <w:tc>
          <w:tcPr>
            <w:tcW w:type="dxa" w:w="21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ความคงที่ของเสียง (F0 CV)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25%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FBF3D9" w:sz="2"/>
          <w:left w:val="single" w:color="9C7A10" w:sz="18"/>
          <w:bottom w:val="single" w:color="FBF3D9" w:sz="2"/>
          <w:right w:val="single" w:color="FBF3D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9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9C7A10"/>
                <w:sz w:val="20"/>
                <w:szCs w:val="20"/>
              </w:rPr>
              <w:t xml:space="preserve">ข้อจำกัดที่ต้องระบุ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แถบวัดความดังใช้เพื่อช่วยให้ผู้ใช้ออกเสียงดังพอเท่านั้น ไม่ได้นำมาคิดคะแนน เพราะเบราว์เซอร์ไม่สามารถวัดระดับความดังจริง (SPL) ได้ และไมโครโฟนแต่ละเครื่องมีอัตราขยายต่างกัน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9. หลักการคำนวณคะแนนความเสี่ยง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9.1 ขั้นตอนการคำนวณ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แปลงค่าดิบแต่ละตัวเป็นคะแนน 0–100 โดยเทียบกับช่วงอ้างอิง "ปกติ" ถึง "ผิดปกติ"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รวมคะแนนของแต่ละแบบทดสอบด้วยค่าเฉลี่ยถ่วงน้ำหนักตามน้ำหนักของค่าที่วัด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รวมคะแนนทั้ง 5 แบบทดสอบด้วยน้ำหนัก 30 / 25 / 20 / 15 / 10 เปอร์เซ็นต์ (นับเฉพาะรายการที่ทำจริง)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ตรวจเงื่อนไขพิเศษ (red flag) แล้วสรุปเป็นระดับความเสี่ยง</w:t>
      </w:r>
    </w:p>
    <w:p>
      <w:pPr>
        <w:spacing w:after="120"/>
      </w:pP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800"/>
        <w:gridCol w:w="1700"/>
        <w:gridCol w:w="4860"/>
      </w:tblGrid>
      <w:tr>
        <w:trPr>
          <w:tblHeader/>
        </w:trPr>
        <w:tc>
          <w:tcPr>
            <w:tcW w:type="dxa" w:w="28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17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ช่วงคะแนน</w:t>
            </w:r>
          </w:p>
        </w:tc>
        <w:tc>
          <w:tcPr>
            <w:tcW w:type="dxa" w:w="48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56B43"/>
                <w:sz w:val="18"/>
                <w:szCs w:val="18"/>
              </w:rPr>
              <w:t xml:space="preserve">ความเสี่ยงต่ำ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0 – 33</w:t>
            </w:r>
          </w:p>
        </w:tc>
        <w:tc>
          <w:tcPr>
            <w:tcW w:type="dxa" w:w="4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ผลอยู่ในเกณฑ์ปกติสำหรับช่วงอายุ</w:t>
            </w:r>
          </w:p>
        </w:tc>
      </w:tr>
      <w:tr>
        <w:tc>
          <w:tcPr>
            <w:tcW w:type="dxa" w:w="28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9C7A10"/>
                <w:sz w:val="18"/>
                <w:szCs w:val="18"/>
              </w:rPr>
              <w:t xml:space="preserve">ความเสี่ยงปานกลาง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34 – 66</w:t>
            </w:r>
          </w:p>
        </w:tc>
        <w:tc>
          <w:tcPr>
            <w:tcW w:type="dxa" w:w="48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มีบางรายการที่ควรเฝ้าดูและทำซ้ำสม่ำเสมอ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B23A3A"/>
                <w:sz w:val="18"/>
                <w:szCs w:val="18"/>
              </w:rPr>
              <w:t xml:space="preserve">พบสัญญาณที่ควรใส่ใจ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67 – 100</w:t>
            </w:r>
          </w:p>
        </w:tc>
        <w:tc>
          <w:tcPr>
            <w:tcW w:type="dxa" w:w="4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ควรปรึกษาแพทย์เพื่อตรวจอย่างละเอียด</w:t>
            </w:r>
          </w:p>
        </w:tc>
      </w:tr>
    </w:tbl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9.2 การปรับตามอายุ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ความสามารถในการเคลื่อนไหวลดลงตามวัยตามธรรมชาติ หากใช้เกณฑ์เดียวกับคนหนุ่มสาว ระบบจะแจ้งเตือนผู้สูงอายุมากเกินจริง ระบบจึงขยับเกณฑ์ "ปกติ" ให้ผ่อนปรนขึ้นตามอายุ โดยอ้างอิงที่อายุ 60 ปี และผ่อนปรนสูงสุดถึงประมาณ 90 ปี</w:t>
      </w: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ตัวอย่างที่ทดสอบแล้ว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ผลการเคาะนิ้วที่เท่ากันทุกประการ จะได้คะแนนความเสี่ยงประมาณ 30 เมื่ออายุ 55 ปี · 23 เมื่ออายุ 70 ปี · 10 เมื่ออายุ 85 ปี</w:t>
            </w:r>
          </w:p>
        </w:tc>
      </w:tr>
    </w:tbl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9.3 เงื่อนไขพิเศษ: Red Flag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คะแนนรวมเป็นค่าเฉลี่ยถ่วงน้ำหนัก ซึ่งมีจุดอ่อนคือ "หักลบกันเอง" ได้ หากผู้ใช้มีอาการสั่นขณะพักอย่างชัดเจนเพียงรายการเดียวแต่อีก 4 รายการปกติ ค่าเฉลี่ยจะกลบสัญญาณนั้นจนรายงานว่าความเสี่ยงต่ำ ระบบจึงกำหนดว่า หากแบบทดสอบใดได้คะแนนตั้งแต่ 80 ขึ้นไป จะไม่รายงานผลรวมว่า "ความเสี่ยงต่ำ" เด็ดขาด</w:t>
      </w: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ตัวอย่างที่ทดสอบแล้ว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ผู้ใช้ที่มีอาการสั่นเดี่ยว ๆ คะแนน 92 แต่คะแนนรวมเพียง 25 ระบบรายงานเป็น "ความเสี่ยงปานกลาง" แทนที่จะเป็น "ความเสี่ยงต่ำ"</w:t>
            </w:r>
          </w:p>
        </w:tc>
      </w:tr>
    </w:tbl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9.4 การป้องกันผลลวง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หากข้อมูลที่เก็บได้ไม่เพียงพอ ระบบจะไม่บันทึกผลและให้ทำใหม่ แทนที่จะให้คะแนนที่ดูดีแต่ไม่มีความหมาย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แบบทดสอบ</w:t>
            </w:r>
          </w:p>
        </w:tc>
        <w:tc>
          <w:tcPr>
            <w:tcW w:type="dxa" w:w="65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เงื่อนไขขั้นต่ำ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วาดก้นหอย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ต้องลากครอบคลุมเส้นอย่างน้อย 70%</w:t>
            </w:r>
          </w:p>
        </w:tc>
      </w:tr>
      <w:tr>
        <w:tc>
          <w:tcPr>
            <w:tcW w:type="dxa" w:w="28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เคาะนิ้ว</w:t>
            </w:r>
          </w:p>
        </w:tc>
        <w:tc>
          <w:tcPr>
            <w:tcW w:type="dxa" w:w="65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ต้องเคาะอย่างน้อย 6 ครั้ง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ความนิ่งของมือ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ต้องมีข้อมูลเซ็นเซอร์อย่างน้อย 20 ตัวอย่างในแต่ละท่า</w:t>
            </w:r>
          </w:p>
        </w:tc>
      </w:tr>
      <w:tr>
        <w:tc>
          <w:tcPr>
            <w:tcW w:type="dxa" w:w="28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หันศีรษะ</w:t>
            </w:r>
          </w:p>
        </w:tc>
        <w:tc>
          <w:tcPr>
            <w:tcW w:type="dxa" w:w="65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ต้องตรวจพบใบหน้าอย่างน้อย 30 เฟรม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เสียงพูด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ต้องมีเสียงจริงอย่างน้อย 25% ของช่วงบันทึก</w:t>
            </w:r>
          </w:p>
        </w:tc>
      </w:tr>
    </w:tbl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9.5 การแยกรูปแบบกลุ่มอาการ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กลุ่มอาการ</w:t>
            </w:r>
          </w:p>
        </w:tc>
        <w:tc>
          <w:tcPr>
            <w:tcW w:type="dxa" w:w="62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ลักษณะเด่นที่ใช้แยก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Parkinsonian Syndrome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สั่นขณะพัก + เคลื่อนไหวช้าลง + ไม่สมมาตรซ้ายขวา + ช่วงการเคลื่อนไหวลดลง</w:t>
            </w:r>
          </w:p>
        </w:tc>
      </w:tr>
      <w:tr>
        <w:tc>
          <w:tcPr>
            <w:tcW w:type="dxa" w:w="31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Essential Tremor</w:t>
            </w:r>
          </w:p>
        </w:tc>
        <w:tc>
          <w:tcPr>
            <w:tcW w:type="dxa" w:w="62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สั่นขณะยกค้าง เป็นทั้งสองข้างใกล้เคียงกัน ไม่มีการเคลื่อนไหวช้าลง มักมีเสียงสั่นร่วมด้วย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Enhanced Physiological Tremor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สั่นละเอียดขณะยกค้าง ความแรงต่ำ ค่าอื่นปกติทั้งหมด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FBEAEA" w:sz="2"/>
          <w:left w:val="single" w:color="B23A3A" w:sz="18"/>
          <w:bottom w:val="single" w:color="FBEAEA" w:sz="2"/>
          <w:right w:val="single" w:color="FBEAE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B23A3A"/>
                <w:sz w:val="20"/>
                <w:szCs w:val="20"/>
              </w:rPr>
              <w:t xml:space="preserve">ค่าน้ำหนักเป็นการประมาณเชิงวิศวกรรม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ค่าน้ำหนักและเกณฑ์ทั้งหมดมาจากลักษณะทางคลินิกตามตำรา ยังไม่ได้ผ่านการสอบเทียบกับข้อมูลผู้ป่วยจริง จึงใช้เพื่อบอกแนวโน้มเชิงเปรียบเทียบเท่านั้น ค่าทั้งหมดเก็บรวมไว้ในไฟล์เดียว (thresholds.ts) เพื่อให้ปรับแก้ได้ง่าย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10. ความเป็นส่วนตัวและ PDPA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ข้อมูลสุขภาพและชีวมิติจัดเป็นข้อมูลส่วนบุคคลอ่อนไหวตาม พ.ร.บ. คุ้มครองข้อมูลส่วนบุคคล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622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หน้าความยินยอม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ช่องติ๊ก 2 ช่องแยกกัน ไม่ติ๊กไว้ล่วงหน้า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การถอนความยินยอม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ปุ่มลบข้อมูลทั้งหมดอยู่ในแท็บตั้งค่า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หลักการ</w:t>
            </w:r>
          </w:p>
        </w:tc>
        <w:tc>
          <w:tcPr>
            <w:tcW w:type="dxa" w:w="67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การนำไปปฏิบัติจริง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เก็บเท่าที่จำเป็น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เก็บเฉพาะตัวเลขผลคำนวณ ไม่เก็บวิดีโอ ภาพนิ่ง หรือไฟล์เสียงดิบ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ประมวลผลในเครื่อง</w:t>
            </w:r>
          </w:p>
        </w:tc>
        <w:tc>
          <w:tcPr>
            <w:tcW w:type="dxa" w:w="67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ภาพใบหน้าและเสียงถูกวิเคราะห์บนอุปกรณ์แล้วลบทิ้งทันที ไม่มีการอัปโหลด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ถอนความยินยอมได้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ปุ่มลบข้อมูลทั้งหมดอยู่ในแท็บตั้งค่า ใช้ได้ทุกเมื่อ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แยกออกจากระบบกับการลบ</w:t>
            </w:r>
          </w:p>
        </w:tc>
        <w:tc>
          <w:tcPr>
            <w:tcW w:type="dxa" w:w="67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"ออกจากระบบ" ล้างข้อมูลระบุตัวตนแต่คงผลการทดสอบไว้ ส่วนการลบเป็นคนละปุ่ม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ความยินยอมผูกกับบุคคล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เมื่อออกจากระบบ ระบบล้างความยินยอมด้วย ผู้ใช้คนถัดไปต้องให้ความยินยอมใหม่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รูปโปรไฟล์</w:t>
            </w:r>
          </w:p>
        </w:tc>
        <w:tc>
          <w:tcPr>
            <w:tcW w:type="dxa" w:w="67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เก็บในเครื่องเท่านั้น ไม่ถูกวิเคราะห์ ไม่ผูกกับผลการทดสอบ ลบแยกได้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ทำไมไม่ต้องมีเซิร์ฟเวอร์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เพราะทุกอย่างประมวลผลและจัดเก็บในเครื่องผู้ใช้ ระบบจึงไม่มีฐานข้อมูลกลางที่จะถูกเจาะ ไม่มีการส่งข้อมูลสุขภาพผ่านเครือข่าย และผู้ใช้ควบคุมข้อมูลของตนเองได้ทั้งหมด — Privacy by Design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11. การออกแบบเพื่อผู้สูงอายุ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64727E"/>
          <w:sz w:val="20"/>
          <w:szCs w:val="20"/>
        </w:rPr>
        <w:t xml:space="preserve">ทุกการตัดสินใจยึดกลุ่มผู้ใช้อายุ 60 ปีขึ้นไปเป็นหลัก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906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1.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ปรับขนาดตัวอักษร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เลือกได้ 3 ระดับ ขยายทั้งแอปพร้อมกัน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2.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ปุ่มขนาดใหญ่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ทุกปุ่มอย่างน้อย 56 พิกเซล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3.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สีคู่กับข้อความ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ผู้ที่ตาบอดสีเข้าใจได้เท่ากัน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60"/>
              <w:right w:type="dxa" w:w="40"/>
            </w:tcMar>
          </w:tcPr>
          <w:p>
            <w:pPr>
              <w:spacing w:after="30" w:before="0" w:line="230"/>
            </w:pPr>
            <w:r>
              <w:rPr>
                <w:rFonts w:ascii="Leelawadee UI" w:cs="Leelawadee UI" w:eastAsia="Leelawadee UI" w:hAnsi="Leelawadee UI"/>
                <w:b/>
                <w:bCs/>
                <w:color w:val="BC5411"/>
                <w:sz w:val="17"/>
                <w:szCs w:val="17"/>
              </w:rPr>
              <w:t xml:space="preserve">4. </w:t>
            </w: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7"/>
                <w:szCs w:val="17"/>
              </w:rPr>
              <w:t xml:space="preserve">สอนก่อนทำจริง</w:t>
            </w:r>
          </w:p>
          <w:p>
            <w:pPr>
              <w:spacing w:after="0" w:before="0" w:line="230"/>
            </w:pPr>
            <w:r>
              <w:rPr>
                <w:rFonts w:ascii="Leelawadee UI" w:cs="Leelawadee UI" w:eastAsia="Leelawadee UI" w:hAnsi="Leelawadee UI"/>
                <w:color w:val="64727E"/>
                <w:sz w:val="15"/>
                <w:szCs w:val="15"/>
              </w:rPr>
              <w:t xml:space="preserve">ทุกแบบทดสอบมี 3 ขั้น ดู–ลอง–ทำจริง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หลักเกณฑ์</w:t>
            </w:r>
          </w:p>
        </w:tc>
        <w:tc>
          <w:tcPr>
            <w:tcW w:type="dxa" w:w="25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ค่าที่ใช้จริง</w:t>
            </w:r>
          </w:p>
        </w:tc>
        <w:tc>
          <w:tcPr>
            <w:tcW w:type="dxa" w:w="43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ขนาดตัวอักษรต่ำสุด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18 พิกเซล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สายตาผู้สูงอายุอ่านตัวอักษรเล็กได้ยาก</w:t>
            </w:r>
          </w:p>
        </w:tc>
      </w:tr>
      <w:tr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ขนาดปุ่มต่ำสุด</w:t>
            </w:r>
          </w:p>
        </w:tc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56 พิกเซล</w:t>
            </w:r>
          </w:p>
        </w:tc>
        <w:tc>
          <w:tcPr>
            <w:tcW w:type="dxa" w:w="43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รองรับการกดที่ไม่แม่นยำและมือที่สั่น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ปรับขนาดตัวอักษร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3 ระดับ (16/18/20 px)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ผู้ใช้ปรับเองได้โดยไม่ต้องพึ่งการตั้งค่าเครื่อง</w:t>
            </w:r>
          </w:p>
        </w:tc>
      </w:tr>
      <w:tr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สีบอกสถานะ</w:t>
            </w:r>
          </w:p>
        </w:tc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มีข้อความกำกับเสมอ</w:t>
            </w:r>
          </w:p>
        </w:tc>
        <w:tc>
          <w:tcPr>
            <w:tcW w:type="dxa" w:w="43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ผู้ที่มีภาวะตาบอดสีต้องเข้าใจได้เท่ากัน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ค่าความต่างของสี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ผ่านมาตรฐาน WCAG AA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อ่านได้ชัดในทุกสภาพแสง</w:t>
            </w:r>
          </w:p>
        </w:tc>
      </w:tr>
      <w:tr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เสียงแนะนำภาษาไทย</w:t>
            </w:r>
          </w:p>
        </w:tc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เปิดเป็นค่าเริ่มต้น</w:t>
            </w:r>
          </w:p>
        </w:tc>
        <w:tc>
          <w:tcPr>
            <w:tcW w:type="dxa" w:w="43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ช่วยผู้ที่อ่านหนังสือไม่สะดวก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ปุ่มย้อนกลับ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ติดอยู่ด้านบนทุกหน้า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เมื่อติดตั้งเป็นแอปจะไม่มีปุ่มย้อนกลับของเบราว์เซอร์</w:t>
            </w:r>
          </w:p>
        </w:tc>
      </w:tr>
      <w:tr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หนึ่งหน้าจอ หนึ่งงาน</w:t>
            </w:r>
          </w:p>
        </w:tc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ปุ่มหลักหนึ่งปุ่มต่อหน้า</w:t>
            </w:r>
          </w:p>
        </w:tc>
        <w:tc>
          <w:tcPr>
            <w:tcW w:type="dxa" w:w="43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ลดความสับสนในการตัดสินใจ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ไอคอนต้องมีคำกำกับเสมอ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ระบบไม่ใช้ไอคอนเดี่ยว ๆ โดยไม่มีข้อความ เพราะผู้สูงอายุจำนวนมากไม่คุ้นเคยกับความหมายของไอคอน ทุกปุ่มจึงมีทั้งไอคอนและคำอธิบายควบคู่กัน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12. Dashboard สำหรับผู้ดูแลระบบ (แนวคิด)</w:t>
      </w:r>
    </w:p>
    <w:tbl>
      <w:tblPr>
        <w:tblW w:type="dxa" w:w="9360"/>
        <w:tblBorders>
          <w:top w:val="single" w:color="FBF3D9" w:sz="2"/>
          <w:left w:val="single" w:color="9C7A10" w:sz="18"/>
          <w:bottom w:val="single" w:color="FBF3D9" w:sz="2"/>
          <w:right w:val="single" w:color="FBF3D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9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9C7A10"/>
                <w:sz w:val="20"/>
                <w:szCs w:val="20"/>
              </w:rPr>
              <w:t xml:space="preserve">สถานะของส่วนนี้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หัวข้อนี้เป็นแนวคิดและแบบร่างการออกแบบ ยังไม่ได้พัฒนาเป็นระบบใช้งานจริง นำเสนอเพื่อแสดงทิศทางการต่อยอด ส่วนที่พัฒนาแล้วและใช้งานได้จริงคือแอปฝั่งผู้ใช้ทั้งหมดตามหัวข้อ 1–11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12.1 วัตถุประสงค์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แอปฝั่งผู้ใช้ตอบโจทย์ "ผู้ใช้หนึ่งคนติดตามตนเอง" แต่ในการนำไปใช้จริงระดับโรงพยาบาลหรือชุมชน จำเป็นต้องมีมุมมองฝั่งบุคลากรทางการแพทย์ เพื่อดูภาพรวมของประชากรและคัดกรองผู้ที่ควรได้รับการติดตามก่อน</w:t>
      </w:r>
    </w:p>
    <w:p>
      <w:pPr>
        <w:spacing w:after="50" w:before="110"/>
        <w:jc w:val="center"/>
      </w:pPr>
      <w:r>
        <w:drawing>
          <wp:inline distT="0" distB="0" distL="0" distR="0">
            <wp:extent cx="6096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/>
        <w:jc w:val="center"/>
      </w:pPr>
      <w:r>
        <w:rPr>
          <w:rFonts w:ascii="Leelawadee UI" w:cs="Leelawadee UI" w:eastAsia="Leelawadee UI" w:hAnsi="Leelawadee UI"/>
          <w:i/>
          <w:iCs/>
          <w:color w:val="64727E"/>
          <w:sz w:val="17"/>
          <w:szCs w:val="17"/>
        </w:rPr>
        <w:t xml:space="preserve">แบบร่าง Dashboard สำหรับผู้ดูแลระบบ (แนวคิด — ยังไม่ได้พัฒนา)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12.2 ส่วนประกอบหลัก</w:t>
      </w:r>
    </w:p>
    <w:tbl>
      <w:tblPr>
        <w:tblW w:type="dxa" w:w="9360"/>
        <w:tblBorders>
          <w:top w:val="single" w:color="E8EAED" w:sz="2"/>
          <w:left w:val="single" w:color="E8EAED" w:sz="2"/>
          <w:bottom w:val="single" w:color="E8EAED" w:sz="2"/>
          <w:right w:val="single" w:color="E8EAED" w:sz="2"/>
          <w:insideH w:val="single" w:color="E8EAED" w:sz="2"/>
          <w:insideV w:val="single" w:color="E8EAED" w:sz="2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ส่วนประกอบ</w:t>
            </w:r>
          </w:p>
        </w:tc>
        <w:tc>
          <w:tcPr>
            <w:tcW w:type="dxa" w:w="6460"/>
            <w:shd w:fill="233A4D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ตัวเลขสรุป (KPI)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จำนวนผู้ใช้ · การคัดกรองวันนี้/สัปดาห์นี้ · เคสเสี่ยงสูง · คะแนนเฉลี่ย</w:t>
            </w:r>
          </w:p>
        </w:tc>
      </w:tr>
      <w:tr>
        <w:tc>
          <w:tcPr>
            <w:tcW w:type="dxa" w:w="2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กราฟแนวโน้ม</w:t>
            </w:r>
          </w:p>
        </w:tc>
        <w:tc>
          <w:tcPr>
            <w:tcW w:type="dxa" w:w="64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ปริมาณการคัดกรองเทียบกับคะแนนเสี่ยงเฉลี่ยรายสัปดาห์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สัดส่วนระดับความเสี่ยง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แผนภูมิวงกลมแสดงสัดส่วนผู้ใช้ระดับต่ำ / ปานกลาง / สูง</w:t>
            </w:r>
          </w:p>
        </w:tc>
      </w:tr>
      <w:tr>
        <w:tc>
          <w:tcPr>
            <w:tcW w:type="dxa" w:w="2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อัตราการเข้าร่วมรายแบบทดสอบ</w:t>
            </w:r>
          </w:p>
        </w:tc>
        <w:tc>
          <w:tcPr>
            <w:tcW w:type="dxa" w:w="64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ดูว่าแบบทดสอบใดมีผู้ทำไม่ครบ ช่วยชี้จุดที่ผู้ใช้ติดขัด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ตารางเคสความเสี่ยงสูง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รายการผู้ที่ต้องติดตาม เรียงตามความเร่งด่วน</w:t>
            </w:r>
          </w:p>
        </w:tc>
      </w:tr>
      <w:tr>
        <w:tc>
          <w:tcPr>
            <w:tcW w:type="dxa" w:w="2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b/>
                <w:bCs/>
                <w:color w:val="233A4D"/>
                <w:sz w:val="18"/>
                <w:szCs w:val="18"/>
              </w:rPr>
              <w:t xml:space="preserve">แผงรายละเอียดรายบุคคล</w:t>
            </w:r>
          </w:p>
        </w:tc>
        <w:tc>
          <w:tcPr>
            <w:tcW w:type="dxa" w:w="646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Leelawadee UI" w:cs="Leelawadee UI" w:eastAsia="Leelawadee UI" w:hAnsi="Leelawadee UI"/>
                <w:color w:val="233A4D"/>
                <w:sz w:val="18"/>
                <w:szCs w:val="18"/>
              </w:rPr>
              <w:t xml:space="preserve">กราฟย้อนหลัง 30 วัน · ผลรายแบบทดสอบ · สถานะการติดตาม</w:t>
            </w:r>
          </w:p>
        </w:tc>
      </w:tr>
    </w:tbl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12.3 ข้อกำหนดด้านความเป็นส่วนตัว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แสดงเฉพาะรหัสอ้างอิงแบบไม่ระบุตัวตน ไม่แสดงชื่อ–นามสกุลหรือเลขบัตรประชาชน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ต้องได้รับความยินยอมจากผู้ใช้ก่อนที่ข้อมูลจะปรากฏในระบบของบุคลากร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ต้องมีระบบยืนยันตัวตนและกำหนดสิทธิ์การเข้าถึงตามบทบาท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ต้องบันทึกประวัติการเข้าถึงข้อมูล (audit log)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ทุกหน้าจอต้องคงข้อความกำกับว่าผลเป็นการคัดกรองเบื้องต้น ไม่ใช่การวินิจฉัย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12.4 สิ่งที่ต้องพัฒนาเพิ่ม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ระบบฐานข้อมูลส่วนกลาง (เช่น Supabase หรือ Firebase)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ระบบบัญชีและการยืนยันตัวตนของบุคลากรทางการแพทย์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กลไกจับคู่ข้อมูลแบบไม่ระบุตัวตนที่ปลอดภัย (pseudonymisation)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ระบบบันทึกประวัติการเข้าถึงข้อมูลตามข้อกำหนด PDPA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การตรวจสอบความแม่นยำทางคลินิกก่อนนำผลไปใช้ประกอบการตัดสินใจ</w:t>
      </w:r>
    </w:p>
    <w:p>
      <w:pPr>
        <w:spacing w:after="120"/>
      </w:pPr>
    </w:p>
    <w:tbl>
      <w:tblPr>
        <w:tblW w:type="dxa" w:w="9360"/>
        <w:tblBorders>
          <w:top w:val="single" w:color="E3EEF6" w:sz="2"/>
          <w:left w:val="single" w:color="1B6CA8" w:sz="18"/>
          <w:bottom w:val="single" w:color="E3EEF6" w:sz="2"/>
          <w:right w:val="single" w:color="E3EE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3EEF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1B6CA8"/>
                <w:sz w:val="20"/>
                <w:szCs w:val="20"/>
              </w:rPr>
              <w:t xml:space="preserve">ลำดับความสำคัญที่แนะนำ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ข้อ 5 (การตรวจสอบความแม่นยำทางคลินิก) ควรทำก่อนข้ออื่นเสมอ เพราะการให้บุคลากรทางการแพทย์ใช้ผลที่ยังไม่ผ่านการสอบเทียบในการจัดลำดับการดูแลผู้ป่วย อาจนำไปสู่การตัดสินใจที่ผิดพลาดได้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C5411" w:sz="18"/>
        </w:pBdr>
        <w:spacing w:after="60" w:before="300"/>
      </w:pPr>
      <w:r>
        <w:rPr>
          <w:rFonts w:ascii="Leelawadee UI" w:cs="Leelawadee UI" w:eastAsia="Leelawadee UI" w:hAnsi="Leelawadee UI"/>
          <w:b/>
          <w:bCs/>
          <w:color w:val="233A4D"/>
          <w:sz w:val="30"/>
          <w:szCs w:val="30"/>
        </w:rPr>
        <w:t xml:space="preserve">13. ข้อจำกัดของระบบ</w:t>
      </w:r>
    </w:p>
    <w:p>
      <w:pPr>
        <w:spacing w:after="110" w:before="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การระบุข้อจำกัดอย่างตรงไปตรงมาเป็นส่วนหนึ่งของความรับผิดชอบในการพัฒนาเครื่องมือด้านสุขภาพ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13.1 ข้อจำกัดด้านความแม่นยำ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ค่าเกณฑ์ทั้งหมดเป็นการประมาณเชิงวิศวกรรม ยังไม่ผ่านการสอบเทียบกับข้อมูลผู้ป่วยจริง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ยังไม่ได้ทดสอบความไว (sensitivity) และความจำเพาะ (specificity) กับกลุ่มตัวอย่างทางคลินิก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ผลลัพธ์เหมาะสำหรับดูแนวโน้มการเปลี่ยนแปลงของตนเอง มากกว่าการเปรียบเทียบระหว่างบุคคล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13.2 ข้อจำกัดด้านอุปกรณ์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เซ็นเซอร์ตรวจการเคลื่อนไหวมีคุณภาพต่างกันในแต่ละรุ่นของโทรศัพท์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อุปกรณ์บางรุ่นไม่รองรับเซ็นเซอร์ตรวจการเคลื่อนไหว ระบบจะข้ามแบบทดสอบนั้นให้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บน iOS ต้องกดอนุญาตให้เข้าถึงเซ็นเซอร์ก่อนใช้งาน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ไมโครโฟนแต่ละเครื่องมีอัตราขยายต่างกัน จึงไม่สามารถวัดความดังเสียงจริงได้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จำเป็นต้องใช้การเชื่อมต่อแบบ HTTPS เพื่อเข้าถึงกล้อง ไมโครโฟน และเซ็นเซอร์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13.3 สิ่งที่ยังไม่ได้พัฒนา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การวัดลายมือที่เล็กลง (micrographia)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การวัดภาวะใบหน้าไร้อารมณ์ (hypomimia)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การวัด Jitter และ Shimmer ตามมาตรฐานระดับห้องปฏิบัติการ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Dashboard สำหรับบุคลากรทางการแพทย์ (ตามหัวข้อ 12)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การเชื่อมต่อฐานข้อมูลส่วนกลางและระบบบัญชีผู้ใช้</w:t>
      </w:r>
    </w:p>
    <w:p>
      <w:pPr>
        <w:pStyle w:val="Heading2"/>
        <w:spacing w:after="120" w:before="260"/>
      </w:pPr>
      <w:r>
        <w:rPr>
          <w:rFonts w:ascii="Leelawadee UI" w:cs="Leelawadee UI" w:eastAsia="Leelawadee UI" w:hAnsi="Leelawadee UI"/>
          <w:b/>
          <w:bCs/>
          <w:color w:val="BC5411"/>
          <w:sz w:val="24"/>
          <w:szCs w:val="24"/>
        </w:rPr>
        <w:t xml:space="preserve">13.4 ทิศทางการพัฒนาต่อ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ศึกษาความแม่นยำทางคลินิกร่วมกับโรงพยาบาล เพื่อสอบเทียบค่าเกณฑ์ทั้งหมด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เพิ่มการวัด micrographia และ hypomimia ให้ครบตามอาการหลักของพาร์กินสัน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พัฒนาระบบฐานข้อมูลกลางและ Dashboard สำหรับบุคลากรทางการแพทย์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eelawadee UI" w:cs="Leelawadee UI" w:eastAsia="Leelawadee UI" w:hAnsi="Leelawadee UI"/>
          <w:color w:val="233A4D"/>
          <w:sz w:val="20"/>
          <w:szCs w:val="20"/>
        </w:rPr>
        <w:t xml:space="preserve">ขยายไปสู่แอปพลิเคชัน Android โดยใช้ตรรกะการคำนวณเดิม</w:t>
      </w:r>
    </w:p>
    <w:p>
      <w:pPr>
        <w:spacing w:after="160"/>
      </w:pPr>
    </w:p>
    <w:tbl>
      <w:tblPr>
        <w:tblW w:type="dxa" w:w="9360"/>
        <w:tblBorders>
          <w:top w:val="single" w:color="FBEAEA" w:sz="2"/>
          <w:left w:val="single" w:color="B23A3A" w:sz="18"/>
          <w:bottom w:val="single" w:color="FBEAEA" w:sz="2"/>
          <w:right w:val="single" w:color="FBEAE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50" w:before="0"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B23A3A"/>
                <w:sz w:val="20"/>
                <w:szCs w:val="20"/>
              </w:rPr>
              <w:t xml:space="preserve">ข้อความปฏิเสธความรับผิดชอบ</w:t>
            </w:r>
          </w:p>
          <w:p>
            <w:pPr>
              <w:spacing w:after="0" w:before="0" w:line="290"/>
            </w:pPr>
            <w:r>
              <w:rPr>
                <w:rFonts w:ascii="Leelawadee UI" w:cs="Leelawadee UI" w:eastAsia="Leelawadee UI" w:hAnsi="Leelawadee UI"/>
                <w:color w:val="233A4D"/>
                <w:sz w:val="19"/>
                <w:szCs w:val="19"/>
              </w:rPr>
              <w:t xml:space="preserve">NeuroMotion AI เป็นเครื่องมือคัดกรองความเสี่ยงเบื้องต้นเท่านั้น ไม่ใช่เครื่องมือแพทย์ที่ผ่านการรับรอง ผลลัพธ์ไม่ใช่การวินิจฉัยโรค และไม่ควรใช้ทดแทนคำแนะนำจากแพทย์ผู้เชี่ยวชาญ หากมีอาการผิดปกติ ควรปรึกษาแพทย์โดยตรงเสมอ</w:t>
            </w:r>
          </w:p>
        </w:tc>
      </w:tr>
    </w:tbl>
    <w:sectPr>
      <w:footerReference w:type="default" r:id="rId7"/>
      <w:pgSz w:w="11906" w:h="16838" w:orient="portrait"/>
      <w:pgMar w:top="1100" w:right="1260" w:bottom="11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64727E"/>
        <w:sz w:val="15"/>
        <w:szCs w:val="15"/>
      </w:rPr>
      <w:t xml:space="preserve">NeuroMotion AI · คู่มือการใช้งาน · หน้า </w:t>
    </w:r>
    <w:r>
      <w:rPr>
        <w:rFonts w:ascii="Leelawadee UI" w:cs="Leelawadee UI" w:eastAsia="Leelawadee UI" w:hAnsi="Leelawadee UI"/>
        <w:color w:val="64727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7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233A4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7a00d95be5a512e4dc9a982c7f36e31400083d2.png"/><Relationship Id="rId9" Type="http://schemas.openxmlformats.org/officeDocument/2006/relationships/image" Target="media/878f2347a4907b64f07704121266a2cae1488bb9.png"/><Relationship Id="rId10" Type="http://schemas.openxmlformats.org/officeDocument/2006/relationships/image" Target="media/ce4c5126a9bb3030aa770d14c3d801369b088e6d.png"/><Relationship Id="rId11" Type="http://schemas.openxmlformats.org/officeDocument/2006/relationships/image" Target="media/c7b8c716693b6e1bc0b2b261098ee1d927cfcc06.png"/><Relationship Id="rId12" Type="http://schemas.openxmlformats.org/officeDocument/2006/relationships/image" Target="media/f8851681a7148f06c1b99b76a71e9e6e8c252fbf.png"/><Relationship Id="rId13" Type="http://schemas.openxmlformats.org/officeDocument/2006/relationships/image" Target="media/86d17ed4c2ff52e5d7834ae21871a813e6340fa2.png"/><Relationship Id="rId14" Type="http://schemas.openxmlformats.org/officeDocument/2006/relationships/image" Target="media/dc4060a970612453f5a54bed29cf987a83c41e3e.png"/><Relationship Id="rId15" Type="http://schemas.openxmlformats.org/officeDocument/2006/relationships/image" Target="media/e4747c4816ee80f233c96e4214c0aea68172ee3b.png"/><Relationship Id="rId16" Type="http://schemas.openxmlformats.org/officeDocument/2006/relationships/image" Target="media/252bf6473ef33e232538cf03014182f9dbc8357c.png"/><Relationship Id="rId17" Type="http://schemas.openxmlformats.org/officeDocument/2006/relationships/image" Target="media/83d5446ac62cfed7ca5f2dbfd089696381f94cb5.png"/><Relationship Id="rId18" Type="http://schemas.openxmlformats.org/officeDocument/2006/relationships/image" Target="media/91245634c506e996bc6a8fcc416554180a26df9a.png"/><Relationship Id="rId19" Type="http://schemas.openxmlformats.org/officeDocument/2006/relationships/image" Target="media/922cb139055c650e573dd7ee444339ee0f8b5384.png"/><Relationship Id="rId20" Type="http://schemas.openxmlformats.org/officeDocument/2006/relationships/image" Target="media/20cf6d8d47c1b7bec714a7fd5809bc915665f638.png"/><Relationship Id="rId21" Type="http://schemas.openxmlformats.org/officeDocument/2006/relationships/image" Target="media/f786d0cfd7f404df5f4e1b9a0340eb0b953b576d.png"/><Relationship Id="rId22" Type="http://schemas.openxmlformats.org/officeDocument/2006/relationships/image" Target="media/489de6efbaf0ddd3bc406aca94aa22d946160e64.png"/><Relationship Id="rId23" Type="http://schemas.openxmlformats.org/officeDocument/2006/relationships/image" Target="media/c1672f719e6223a332c61a3be59f9d9abc69a54a.png"/><Relationship Id="rId24" Type="http://schemas.openxmlformats.org/officeDocument/2006/relationships/image" Target="media/133d7a7bb8320317e496d047e4d3a2b4bf8abc35.png"/><Relationship Id="rId25" Type="http://schemas.openxmlformats.org/officeDocument/2006/relationships/image" Target="media/f158fa2b5dd18f1060d9dd86e2cd647ae05a6a04.png"/><Relationship Id="rId26" Type="http://schemas.openxmlformats.org/officeDocument/2006/relationships/image" Target="media/6db785900128e48513bbfdf6b23960c191a16eb8.png"/><Relationship Id="rId27" Type="http://schemas.openxmlformats.org/officeDocument/2006/relationships/image" Target="media/241e925463890ff6cf54936aebd9239192cd9246.png"/><Relationship Id="rId28" Type="http://schemas.openxmlformats.org/officeDocument/2006/relationships/image" Target="media/bc068e251d232e309b85e97cebe02f21f0b4e2e5.png"/><Relationship Id="rId29" Type="http://schemas.openxmlformats.org/officeDocument/2006/relationships/image" Target="media/2b9786e7255802a632e6fe31a55ee3b9c36a4158.png"/><Relationship Id="rId30" Type="http://schemas.openxmlformats.org/officeDocument/2006/relationships/image" Target="media/f946454371944e5c0ee0c07db11cf4ee29a39de8.png"/><Relationship Id="rId31" Type="http://schemas.openxmlformats.org/officeDocument/2006/relationships/image" Target="media/ff555feda6e38c7ba23f286c252cca0a4f54e1a6.png"/><Relationship Id="rId32" Type="http://schemas.openxmlformats.org/officeDocument/2006/relationships/image" Target="media/4972639aeb7cc874b0df87ab2125cf6e7c69fe25.png"/><Relationship Id="rId33" Type="http://schemas.openxmlformats.org/officeDocument/2006/relationships/image" Target="media/23d93f77c86816b3c22db3c20de76ebabd42baf0.png"/><Relationship Id="rId34" Type="http://schemas.openxmlformats.org/officeDocument/2006/relationships/image" Target="media/7f0adb05ef5446ad730c653be6ffa08fb2291836.png"/><Relationship Id="rId35" Type="http://schemas.openxmlformats.org/officeDocument/2006/relationships/image" Target="media/b63c33adbb8c0363aa97276f8ad39e1867fb67e7.png"/><Relationship Id="rId36" Type="http://schemas.openxmlformats.org/officeDocument/2006/relationships/image" Target="media/440fc3a35350da03891e52add2b4c113642c7ed2.png"/><Relationship Id="rId37" Type="http://schemas.openxmlformats.org/officeDocument/2006/relationships/image" Target="media/eb51148be290d1979e034372b2c9cf35b4317aec.png"/><Relationship Id="rId38" Type="http://schemas.openxmlformats.org/officeDocument/2006/relationships/image" Target="media/87b351e72d4e32866dec620a9128ca5939af4c4f.png"/><Relationship Id="rId39" Type="http://schemas.openxmlformats.org/officeDocument/2006/relationships/image" Target="media/9c94da79f35c960721e222737b962e4e5040f66b.png"/><Relationship Id="rId40" Type="http://schemas.openxmlformats.org/officeDocument/2006/relationships/image" Target="media/41cb835feba3cbbe08f8ea5c7e8defd643def3d1.png"/><Relationship Id="rId41" Type="http://schemas.openxmlformats.org/officeDocument/2006/relationships/image" Target="media/318a693a9ee5f374bd8bab7e65c22ece430389ba.png"/><Relationship Id="rId42" Type="http://schemas.openxmlformats.org/officeDocument/2006/relationships/image" Target="media/7f01be21b9334dde5613135402d9bd0c20b9fcb1.png"/><Relationship Id="rId43" Type="http://schemas.openxmlformats.org/officeDocument/2006/relationships/image" Target="media/a271e5d4ad1badffcfe07ef27ade42191026d76e.png"/><Relationship Id="rId44" Type="http://schemas.openxmlformats.org/officeDocument/2006/relationships/image" Target="media/d82f3ece4efd345b78328eb67a38e0f8499e9710.png"/><Relationship Id="rId45" Type="http://schemas.openxmlformats.org/officeDocument/2006/relationships/image" Target="media/b990f289a684e76357874f6792f67c22c921b23b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NeuroMotion AI — คู่มือการใช้งานพร้อมภาพประกอบ</dc:title>
  <dc:creator>NeuroMotion AI</dc:creator>
  <cp:lastModifiedBy>Un-named</cp:lastModifiedBy>
  <cp:revision>1</cp:revision>
  <dcterms:created xsi:type="dcterms:W3CDTF">2026-08-22T06:26:50.945Z</dcterms:created>
  <dcterms:modified xsi:type="dcterms:W3CDTF">2026-08-22T06:26:50.946Z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