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33F7" w14:textId="77777777" w:rsidR="0055594B" w:rsidRDefault="00C06613" w:rsidP="007A3CB2">
      <w:pPr>
        <w:pStyle w:val="Title"/>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003A6F">
        <w:t>Data Preprocessing</w:t>
      </w:r>
      <w:r w:rsidR="0055594B">
        <w:t xml:space="preserve">, </w:t>
      </w:r>
      <w:r w:rsidR="00003A6F">
        <w:t>Feature Engineering</w:t>
      </w:r>
      <w:r w:rsidR="0055594B">
        <w:t xml:space="preserve">, </w:t>
      </w:r>
    </w:p>
    <w:p w14:paraId="216EBE42" w14:textId="06D99379" w:rsidR="005006E3" w:rsidRPr="007A3CB2" w:rsidRDefault="0055594B" w:rsidP="007A3CB2">
      <w:pPr>
        <w:pStyle w:val="Title"/>
        <w:rPr>
          <w:rFonts w:ascii="Calibri" w:hAnsi="Calibri" w:cs="Calibri"/>
        </w:rPr>
      </w:pPr>
      <w:r>
        <w:t>and Initial Modeling</w:t>
      </w:r>
      <w:r w:rsidR="00A003ED">
        <w:t xml:space="preserve"> Report</w:t>
      </w:r>
    </w:p>
    <w:bookmarkEnd w:id="0"/>
    <w:p w14:paraId="6C52F6FD" w14:textId="2019BADC"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55594B">
        <w:t>12</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302D6A81" w14:textId="77777777" w:rsidR="0055594B" w:rsidRPr="005C6FCA" w:rsidRDefault="0055594B" w:rsidP="0055594B">
      <w:pPr>
        <w:pStyle w:val="Heading2"/>
      </w:pPr>
      <w:r w:rsidRPr="005C6FCA">
        <w:t>Background</w:t>
      </w:r>
    </w:p>
    <w:p w14:paraId="7E7B9677" w14:textId="65C99625" w:rsidR="0055594B" w:rsidRDefault="0055594B" w:rsidP="0055594B">
      <w:pPr>
        <w:pStyle w:val="BulkofText"/>
      </w:pPr>
      <w:bookmarkStart w:id="1" w:name="_Hlk206923770"/>
      <w:r w:rsidRPr="00D82A90">
        <w:t xml:space="preserve">Intertidal communities </w:t>
      </w:r>
      <w:r w:rsidR="007E5633">
        <w:t xml:space="preserve">in the Gulf of Maine </w:t>
      </w:r>
      <w:r w:rsidRPr="00D82A90">
        <w:t>are experiencing rapid change, including changes in vertical zonation</w:t>
      </w:r>
      <w:r>
        <w:t xml:space="preserve"> </w:t>
      </w:r>
      <w:r>
        <w:fldChar w:fldCharType="begin"/>
      </w:r>
      <w:r>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fldChar w:fldCharType="separate"/>
      </w:r>
      <w:r w:rsidRPr="00D82A90">
        <w:t>(Trott 2022)</w:t>
      </w:r>
      <w:r>
        <w:fldChar w:fldCharType="end"/>
      </w:r>
      <w:r w:rsidRPr="00D82A90">
        <w:t xml:space="preserve"> and introduction of invasive and range expanding species</w:t>
      </w:r>
      <w:r>
        <w:t xml:space="preserve"> </w:t>
      </w:r>
      <w:r>
        <w:fldChar w:fldCharType="begin"/>
      </w:r>
      <w:r>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fldChar w:fldCharType="separate"/>
      </w:r>
      <w:r w:rsidRPr="002718F2">
        <w:t>(Cohen et al. 1995, Yamada 2001, Epifanio 2013, Johnson 2015, Cheng et al. 2025)</w:t>
      </w:r>
      <w:r>
        <w:fldChar w:fldCharType="end"/>
      </w:r>
      <w:r w:rsidRPr="00D82A90">
        <w:t xml:space="preserve">. These changes may compound over time into significant changes to community structure. </w:t>
      </w:r>
      <w:r w:rsidR="005957A9">
        <w:t xml:space="preserve">Algal species that are critical to ecosystem function, including </w:t>
      </w:r>
      <w:r w:rsidR="005957A9">
        <w:rPr>
          <w:i/>
          <w:iCs/>
        </w:rPr>
        <w:t xml:space="preserve">Fucus spp. </w:t>
      </w:r>
      <w:r w:rsidR="005957A9">
        <w:t xml:space="preserve">And </w:t>
      </w:r>
      <w:r w:rsidR="005957A9">
        <w:rPr>
          <w:i/>
          <w:iCs/>
        </w:rPr>
        <w:t>Ascophyllum nodosum</w:t>
      </w:r>
      <w:r w:rsidR="005957A9">
        <w:t xml:space="preserve">,   </w:t>
      </w:r>
      <w:r w:rsidRPr="00D82A90">
        <w:t xml:space="preserve">Because of this and the importance of these ecosystems ecologically and </w:t>
      </w:r>
      <w:r>
        <w:t>as a source of ecosystem services</w:t>
      </w:r>
      <w:r w:rsidR="007E5633">
        <w:t xml:space="preserve">, </w:t>
      </w:r>
      <w:r w:rsidRPr="00D82A90">
        <w:t xml:space="preserve">including as interpretive spaces in National Parks, it is important that we </w:t>
      </w:r>
      <w:r w:rsidR="00517639" w:rsidRPr="00D82A90">
        <w:t>understand</w:t>
      </w:r>
      <w:r w:rsidRPr="00D82A90">
        <w:t xml:space="preserve"> what the future holds for the rocky intertidal in the Gulf of Maine, and which factors contribute most to that future.</w:t>
      </w:r>
      <w:bookmarkEnd w:id="1"/>
    </w:p>
    <w:p w14:paraId="2D23FE52" w14:textId="4815917F" w:rsidR="00C06613" w:rsidRPr="005C6FCA" w:rsidRDefault="00A003ED" w:rsidP="00BF5443">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 and 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lastRenderedPageBreak/>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4261E6F5" w:rsidR="00A003ED" w:rsidRPr="00D82A90" w:rsidRDefault="00A003ED" w:rsidP="00A003ED">
      <w:pPr>
        <w:pStyle w:val="BulkofText"/>
      </w:pPr>
      <w:r w:rsidRPr="00D82A90">
        <w:t xml:space="preserve">I predict that an increase in the abundance of motile invertebrates </w:t>
      </w:r>
      <w:r w:rsidRPr="00D82A90">
        <w:rPr>
          <w:i/>
          <w:iCs/>
        </w:rPr>
        <w:t>Littorina obtusata</w:t>
      </w:r>
      <w:r>
        <w:t xml:space="preserve"> will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r w:rsidR="00003A6F">
        <w:t>.</w:t>
      </w:r>
    </w:p>
    <w:p w14:paraId="7CEA3F9C" w14:textId="197BBC08" w:rsidR="005006E3" w:rsidRPr="00CE295A" w:rsidRDefault="00A003ED" w:rsidP="000F08FF">
      <w:pPr>
        <w:pStyle w:val="Heading1"/>
        <w:spacing w:before="0"/>
      </w:pPr>
      <w:r>
        <w:t>Methods</w:t>
      </w:r>
    </w:p>
    <w:p w14:paraId="5EA9EA2D" w14:textId="77777777" w:rsidR="00773A31" w:rsidRPr="005C6FCA" w:rsidRDefault="00773A31" w:rsidP="00773A31">
      <w:pPr>
        <w:pStyle w:val="Heading2"/>
      </w:pPr>
      <w:r>
        <w:t>Data Preprocessing</w:t>
      </w:r>
    </w:p>
    <w:p w14:paraId="09BACF28" w14:textId="55A7C0BE" w:rsidR="00773A31" w:rsidRDefault="008B44B5" w:rsidP="008B44B5">
      <w:pPr>
        <w:pStyle w:val="BulkofText"/>
      </w:pPr>
      <w:r>
        <w:t xml:space="preserve">The target variables, </w:t>
      </w:r>
      <w:r w:rsidRPr="008B44B5">
        <w:rPr>
          <w:i/>
        </w:rPr>
        <w:t>F. vesiculosus</w:t>
      </w:r>
      <w:r>
        <w:t xml:space="preserve"> and </w:t>
      </w:r>
      <w:r w:rsidRPr="008B44B5">
        <w:rPr>
          <w:i/>
        </w:rPr>
        <w:t>A. nodosum</w:t>
      </w:r>
      <w:r>
        <w:t xml:space="preserve"> percent cover, and the percent cover predictor variables, are percentage data, bounded between 0 and 100. While </w:t>
      </w:r>
      <w:r w:rsidR="00201C4F">
        <w:t>Random Forest</w:t>
      </w:r>
      <w:r>
        <w:t xml:space="preserve"> is a non-parametric model that does not require normally distributed or unbounded data, the bounded nature of percentage data can still cause issues for the model.</w:t>
      </w:r>
      <w:r w:rsidR="00957520">
        <w:t xml:space="preserve"> </w:t>
      </w:r>
      <w:r>
        <w:t>To address these issues and better represent proportional differences across the full range of possible values, a logit transformation was applied to all percentage</w:t>
      </w:r>
      <w:r w:rsidR="00957520">
        <w:t xml:space="preserve"> variables. </w:t>
      </w:r>
      <w:r>
        <w:t>Th</w:t>
      </w:r>
      <w:r w:rsidR="00DA2D8F">
        <w:t>e logit</w:t>
      </w:r>
      <w:r>
        <w:t xml:space="preserve"> transformation </w:t>
      </w:r>
      <w:r w:rsidR="00957520">
        <w:t>re</w:t>
      </w:r>
      <w:r>
        <w:t>maps the bounded interval (</w:t>
      </w:r>
      <w:r w:rsidR="00DA2D8F">
        <w:t xml:space="preserve">a proportion from </w:t>
      </w:r>
      <w:r>
        <w:t>0</w:t>
      </w:r>
      <w:r w:rsidR="00DA2D8F">
        <w:t xml:space="preserve"> to</w:t>
      </w:r>
      <w:r>
        <w:t xml:space="preserve"> 1) to the unbounded real line (</w:t>
      </w:r>
      <w:r w:rsidR="00957520">
        <w:t>negative infinity to positive infinity</w:t>
      </w:r>
      <w:r>
        <w:t>). An epsilon value of 0.0001 was added to all proportions before transformation to prevent undefined values at exactly 0 or 1</w:t>
      </w:r>
      <w:r w:rsidR="00957520">
        <w:t>.</w:t>
      </w:r>
      <w:r w:rsidR="00B83F5B">
        <w:t xml:space="preserve"> </w:t>
      </w:r>
    </w:p>
    <w:p w14:paraId="7EA983FE" w14:textId="346BD684" w:rsidR="00090F42" w:rsidRPr="005C6FCA" w:rsidRDefault="00E94BBF" w:rsidP="00BF5443">
      <w:pPr>
        <w:pStyle w:val="Heading2"/>
      </w:pPr>
      <w:r>
        <w:lastRenderedPageBreak/>
        <w:t>Feature Engineering</w:t>
      </w:r>
    </w:p>
    <w:p w14:paraId="2CAB7ED8" w14:textId="5FE0C215" w:rsidR="00BF5443" w:rsidRDefault="00911F75" w:rsidP="0039438D">
      <w:pPr>
        <w:pStyle w:val="BulkofText"/>
      </w:pPr>
      <w:r>
        <w:t>Previously, I explored</w:t>
      </w:r>
      <w:r w:rsidR="00E94BBF">
        <w:t xml:space="preserve"> unsupervised feature engineering proc</w:t>
      </w:r>
      <w:r>
        <w:t>esses with limited success in reducing dimensionality of the data. I performed a non-parametric multidimensional scaling analysis using Bray-Curtis dissimilarity, and</w:t>
      </w:r>
      <w:r w:rsidR="00550519">
        <w:t xml:space="preserve"> </w:t>
      </w:r>
      <w:r>
        <w:t>a principal component analysis using untransformed and Hellinger-transformed data.</w:t>
      </w:r>
      <w:r w:rsidR="00550519">
        <w:t xml:space="preserve"> </w:t>
      </w:r>
      <w:r>
        <w:t>NMDS produced no distinct clustering, though it is generally regarded as effective for clustering ecological community dat</w:t>
      </w:r>
      <w:r w:rsidR="000B5B16">
        <w:t xml:space="preserve">a </w:t>
      </w:r>
      <w:r w:rsidR="000B5B16">
        <w:fldChar w:fldCharType="begin"/>
      </w:r>
      <w:r w:rsidR="000B5B16">
        <w:instrText xml:space="preserve"> ADDIN ZOTERO_ITEM CSL_CITATION {"citationID":"NmrRGx0C","properties":{"formattedCitation":"(Clarke 1993)","plainCitation":"(Clarke 1993)","noteIndex":0},"citationItems":[{"id":241,"uris":["http://zotero.org/users/13044088/items/52ISJQL4"],"itemData":{"id":241,"type":"article-journal","abstract":"Abstract\n              In the early 1980s, a strategy for graphical representation of multivariate (multi‐species) abundance data was introduced into marine ecology by, among others, Field,\n              et al.\n              (1982). A decade on, it is instructive to: (i) identify which elements of this often‐quoted strategy have proved most useful in practical assessment of community change resulting from pollution impact; and (ii) ask to what extent evolution of techniques in the intervening years has added self‐consistency and comprehensiveness to the approach. The pivotal concept has proved to be that of a biologically‐relevant definition of similarity of two samples, and its utilization mainly in simple rank form, for example ‘sample A is more similar to sample B than it is to sample C’. Statistical assumptions about the data are thus minimized and the resulting non‐parametric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(Crossref)","title":"Non‐parametric multivariate analyses of changes in community structure","volume":"18","author":[{"family":"Clarke","given":"K. R."}],"issued":{"date-parts":[["1993",3]]}}}],"schema":"https://github.com/citation-style-language/schema/raw/master/csl-citation.json"} </w:instrText>
      </w:r>
      <w:r w:rsidR="000B5B16">
        <w:fldChar w:fldCharType="separate"/>
      </w:r>
      <w:r w:rsidR="000B5B16" w:rsidRPr="000B5B16">
        <w:t>(Clarke 1993)</w:t>
      </w:r>
      <w:r w:rsidR="000B5B16">
        <w:fldChar w:fldCharType="end"/>
      </w:r>
      <w:r>
        <w:t xml:space="preserve">. Principal components did not sufficiently capture the variability in the data. Additionally, PCA, even with Hellinger-transformed data, has been shown to be ineffective </w:t>
      </w:r>
      <w:r w:rsidR="00550519">
        <w:t xml:space="preserve">when working with ecological community data </w:t>
      </w:r>
      <w:r w:rsidR="00550519">
        <w:fldChar w:fldCharType="begin"/>
      </w:r>
      <w:r w:rsidR="00550519">
        <w:instrText xml:space="preserve"> ADDIN ZOTERO_ITEM CSL_CITATION {"citationID":"3jwRw0uk","properties":{"formattedCitation":"(Minchin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550519">
        <w:fldChar w:fldCharType="separate"/>
      </w:r>
      <w:r w:rsidR="00550519" w:rsidRPr="00550519">
        <w:t>(Minchin and Rennie 2010)</w:t>
      </w:r>
      <w:r w:rsidR="00550519">
        <w:fldChar w:fldCharType="end"/>
      </w:r>
      <w:r w:rsidR="00550519">
        <w:t>.</w:t>
      </w:r>
      <w:r>
        <w:t xml:space="preserve"> Because of this, and to maintain interpretability of the final model, unsupervised feature engineering is not explored any further.</w:t>
      </w:r>
    </w:p>
    <w:p w14:paraId="09AF8891" w14:textId="761C7F8F" w:rsidR="00911F75" w:rsidRPr="00675FF6" w:rsidRDefault="007E14EE" w:rsidP="0039438D">
      <w:pPr>
        <w:pStyle w:val="BulkofText"/>
      </w:pPr>
      <w:bookmarkStart w:id="2" w:name="_Hlk206964413"/>
      <w:r>
        <w:t xml:space="preserve">An </w:t>
      </w:r>
      <w:r w:rsidR="000B5B16">
        <w:t xml:space="preserve">initial </w:t>
      </w:r>
      <w:r>
        <w:t xml:space="preserve">out-of-bag </w:t>
      </w:r>
      <w:r w:rsidR="00201C4F">
        <w:t>Random Forest</w:t>
      </w:r>
      <w:r>
        <w:t xml:space="preserve"> model was used to examine the importance of each predictor in predicting </w:t>
      </w:r>
      <w:r>
        <w:rPr>
          <w:i/>
        </w:rPr>
        <w:t>F. vesiculosus</w:t>
      </w:r>
      <w:r>
        <w:t xml:space="preserve"> and</w:t>
      </w:r>
      <w:r>
        <w:rPr>
          <w:i/>
        </w:rPr>
        <w:t xml:space="preserve"> A. nodosum</w:t>
      </w:r>
      <w:r>
        <w:t xml:space="preserve"> percent cover.</w:t>
      </w:r>
      <w:r w:rsidR="00675FF6">
        <w:t xml:space="preserve"> Any feature with a percent increase in mean squared error of 0 or below for either target species was removed. Percent increase in mean squared error in this instance is a measure of how much the mean squared error increases when an individual variable is imputed randomly. This means that values of zero represent variables that are not significantly contributing to the model’s performance, and, in the case of negative values, are actively adding noise.</w:t>
      </w:r>
      <w:bookmarkEnd w:id="2"/>
      <w:r w:rsidR="00675FF6">
        <w:t xml:space="preserve"> Additionally, some important variables were removed for the sake of addressing the specific research question posed.</w:t>
      </w:r>
    </w:p>
    <w:p w14:paraId="430ABE6F" w14:textId="2DC0B5CF" w:rsidR="008D3F78" w:rsidRPr="005C6FCA" w:rsidRDefault="008D3F78" w:rsidP="008D3F78">
      <w:pPr>
        <w:pStyle w:val="Heading2"/>
      </w:pPr>
      <w:r>
        <w:t>Training – Test Split</w:t>
      </w:r>
    </w:p>
    <w:p w14:paraId="1EF68D02" w14:textId="509B7CCC" w:rsidR="008D3F78" w:rsidRDefault="00911F75" w:rsidP="008D3F78">
      <w:pPr>
        <w:pStyle w:val="BulkofText"/>
      </w:pPr>
      <w:r>
        <w:rPr>
          <w:rFonts w:eastAsiaTheme="majorEastAsia"/>
        </w:rPr>
        <w:t xml:space="preserve">The equation </w:t>
      </w:r>
      <m:oMath>
        <m:rad>
          <m:radPr>
            <m:degHide m:val="1"/>
            <m:ctrlPr>
              <w:rPr>
                <w:rFonts w:ascii="Cambria Math" w:hAnsi="Cambria Math"/>
                <w:i/>
              </w:rPr>
            </m:ctrlPr>
          </m:radPr>
          <m:deg/>
          <m:e>
            <m:r>
              <w:rPr>
                <w:rFonts w:ascii="Cambria Math" w:hAnsi="Cambria Math"/>
              </w:rPr>
              <m:t>p</m:t>
            </m:r>
          </m:e>
        </m:rad>
        <m:r>
          <w:rPr>
            <w:rFonts w:ascii="Cambria Math" w:hAnsi="Cambria Math"/>
          </w:rPr>
          <m:t>:1</m:t>
        </m:r>
      </m:oMath>
      <w:r w:rsidR="008D3F78">
        <w:t xml:space="preserve"> </w:t>
      </w:r>
      <w:r>
        <w:t>is used to calculate</w:t>
      </w:r>
      <w:r w:rsidR="008D3F78">
        <w:t xml:space="preserve"> the optimal training-test split for the dataset, as this is generally viewed as the ideal method for determining this split </w:t>
      </w:r>
      <w:r w:rsidR="008D3F78">
        <w:fldChar w:fldCharType="begin"/>
      </w:r>
      <w:r w:rsidR="008D3F78">
        <w:instrText xml:space="preserve"> ADDIN ZOTERO_ITEM CSL_CITATION {"citationID":"TE9iBtKZ","properties":{"formattedCitation":"(Joseph 2022)","plainCitation":"(Joseph 2022)","noteIndex":0},"citationItems":[{"id":229,"uris":["http://zotero.org/users/13044088/items/N4759QVM"],"itemData":{"id":229,"type":"article-journal","abstract":"It is common to split a dataset into training and testing sets before fitting a statistical or machine learning model. However, there is no clear guidance on how much data should be used for training and testing. In this article, we show that the optimal training/testing splitting ratio is \\ \\sqrtp:1 \\, where \\ p \\ is the number of parameters in a linear regression model that explains the data well.","container-title":"Statistical Analysis and Data Mining: The ASA Data Science Journal","DOI":"10.1002/sam.11583","ISSN":"1932-1872","issue":"4","language":"en","license":"© 2022 The Author. Statistical Analysis and Data Mining published by Wiley Periodicals LLC.","note":"_eprint: https://onlinelibrary.wiley.com/doi/pdf/10.1002/sam.11583","page":"531-538","source":"Wiley Online Library","title":"Optimal ratio for data splitting","volume":"15","author":[{"family":"Joseph","given":"V. Roshan"}],"issued":{"date-parts":[["2022"]]}}}],"schema":"https://github.com/citation-style-language/schema/raw/master/csl-citation.json"} </w:instrText>
      </w:r>
      <w:r w:rsidR="008D3F78">
        <w:fldChar w:fldCharType="separate"/>
      </w:r>
      <w:r w:rsidR="008D3F78" w:rsidRPr="008D3F78">
        <w:t>(Joseph 2022)</w:t>
      </w:r>
      <w:r w:rsidR="008D3F78">
        <w:fldChar w:fldCharType="end"/>
      </w:r>
      <w:r w:rsidR="008D3F78">
        <w:t xml:space="preserve">. </w:t>
      </w:r>
      <w:r w:rsidR="00DD3511">
        <w:t xml:space="preserve">The dataset in </w:t>
      </w:r>
      <w:r w:rsidR="00DD3511">
        <w:lastRenderedPageBreak/>
        <w:t>use has a sufficiently large sample size to parameter (</w:t>
      </w:r>
      <w:proofErr w:type="spellStart"/>
      <w:r w:rsidR="00DD3511">
        <w:rPr>
          <w:i/>
        </w:rPr>
        <w:t>n</w:t>
      </w:r>
      <w:r w:rsidR="00DD3511">
        <w:t>:</w:t>
      </w:r>
      <w:r w:rsidR="00DD3511">
        <w:rPr>
          <w:i/>
        </w:rPr>
        <w:t>p</w:t>
      </w:r>
      <w:proofErr w:type="spellEnd"/>
      <w:r w:rsidR="00DD3511">
        <w:t>) ratio, so th</w:t>
      </w:r>
      <w:r w:rsidR="007E5633">
        <w:t>e theoretical optimal split is sufficient</w:t>
      </w:r>
      <w:r w:rsidR="00517639">
        <w:t xml:space="preserve"> and there is no need to specifically tailor the split to accommodate the structure of the data.</w:t>
      </w:r>
    </w:p>
    <w:p w14:paraId="5FC9B314" w14:textId="0D614304" w:rsidR="004751F5" w:rsidRPr="005C6FCA" w:rsidRDefault="004751F5" w:rsidP="004751F5">
      <w:pPr>
        <w:pStyle w:val="Heading2"/>
      </w:pPr>
      <w:r>
        <w:t>Initial Model</w:t>
      </w:r>
    </w:p>
    <w:p w14:paraId="15119D3C" w14:textId="28D0E49C" w:rsidR="004751F5" w:rsidRPr="00DD3511" w:rsidRDefault="004751F5" w:rsidP="004751F5">
      <w:pPr>
        <w:pStyle w:val="BulkofText"/>
      </w:pPr>
      <w:r>
        <w:rPr>
          <w:rFonts w:eastAsiaTheme="majorEastAsia"/>
        </w:rPr>
        <w:t xml:space="preserve">The initial model selected for this </w:t>
      </w:r>
      <w:r w:rsidR="00517639">
        <w:rPr>
          <w:rFonts w:eastAsiaTheme="majorEastAsia"/>
        </w:rPr>
        <w:t xml:space="preserve">analysis is a </w:t>
      </w:r>
      <w:r w:rsidR="00201C4F">
        <w:rPr>
          <w:rFonts w:eastAsiaTheme="majorEastAsia"/>
        </w:rPr>
        <w:t>Random Forest</w:t>
      </w:r>
      <w:r w:rsidR="00517639">
        <w:rPr>
          <w:rFonts w:eastAsiaTheme="majorEastAsia"/>
        </w:rPr>
        <w:t xml:space="preserve"> model as it is a non-parametric machine learning method that handles </w:t>
      </w:r>
      <w:r w:rsidR="0057755F">
        <w:rPr>
          <w:rFonts w:eastAsiaTheme="majorEastAsia"/>
        </w:rPr>
        <w:t xml:space="preserve">mixed data types, </w:t>
      </w:r>
      <w:r w:rsidR="00517639">
        <w:rPr>
          <w:rFonts w:eastAsiaTheme="majorEastAsia"/>
        </w:rPr>
        <w:t>the skewed distribution</w:t>
      </w:r>
      <w:r w:rsidR="0057755F">
        <w:rPr>
          <w:rFonts w:eastAsiaTheme="majorEastAsia"/>
        </w:rPr>
        <w:t>,</w:t>
      </w:r>
      <w:r w:rsidR="00517639">
        <w:rPr>
          <w:rFonts w:eastAsiaTheme="majorEastAsia"/>
        </w:rPr>
        <w:t xml:space="preserve"> and non-linear relationships between predictors that</w:t>
      </w:r>
      <w:r w:rsidR="0057755F">
        <w:rPr>
          <w:rFonts w:eastAsiaTheme="majorEastAsia"/>
        </w:rPr>
        <w:t xml:space="preserve"> </w:t>
      </w:r>
      <w:r w:rsidR="00517639">
        <w:rPr>
          <w:rFonts w:eastAsiaTheme="majorEastAsia"/>
        </w:rPr>
        <w:t>has been examined in the NETN monitoring data</w:t>
      </w:r>
      <w:r w:rsidR="0057755F">
        <w:rPr>
          <w:rFonts w:eastAsiaTheme="majorEastAsia"/>
        </w:rPr>
        <w:t xml:space="preserve"> and is oftentimes found in ecological data</w:t>
      </w:r>
      <w:r w:rsidR="00517639">
        <w:rPr>
          <w:rFonts w:eastAsiaTheme="majorEastAsia"/>
        </w:rPr>
        <w:t>.</w:t>
      </w:r>
      <w:r w:rsidR="0057755F">
        <w:rPr>
          <w:rFonts w:eastAsiaTheme="majorEastAsia"/>
        </w:rPr>
        <w:t xml:space="preserve"> Additionally, </w:t>
      </w:r>
      <w:r w:rsidR="00201C4F">
        <w:rPr>
          <w:rFonts w:eastAsiaTheme="majorEastAsia"/>
        </w:rPr>
        <w:t>Random Forest</w:t>
      </w:r>
      <w:r w:rsidR="0057755F">
        <w:rPr>
          <w:rFonts w:eastAsiaTheme="majorEastAsia"/>
        </w:rPr>
        <w:t xml:space="preserve"> handles multicollinearity well which has been observed in the NETN data to a small extent. Out-of-bag (OOB) error is used as a first estimate of test error. An OOB model is computationally cheap, fast, and helps </w:t>
      </w:r>
      <w:r w:rsidR="00DA2D8F">
        <w:rPr>
          <w:rFonts w:eastAsiaTheme="majorEastAsia"/>
        </w:rPr>
        <w:t>mitigate</w:t>
      </w:r>
      <w:r w:rsidR="0057755F">
        <w:rPr>
          <w:rFonts w:eastAsiaTheme="majorEastAsia"/>
        </w:rPr>
        <w:t xml:space="preserve"> data leakage while still having comparable performance to a fully fleshed out, cross-validated model.</w:t>
      </w:r>
    </w:p>
    <w:p w14:paraId="6D8E1B27" w14:textId="601841C9" w:rsidR="005006E3" w:rsidRPr="00D82A90" w:rsidRDefault="00C33CC6" w:rsidP="00DA2D8F">
      <w:pPr>
        <w:pStyle w:val="Heading1"/>
        <w:spacing w:before="0"/>
      </w:pPr>
      <w:r>
        <w:t>Results</w:t>
      </w:r>
    </w:p>
    <w:p w14:paraId="2AB5C855" w14:textId="2245DD74" w:rsidR="00865EB2" w:rsidRDefault="00865EB2" w:rsidP="00BF5443">
      <w:pPr>
        <w:pStyle w:val="Heading2"/>
      </w:pPr>
      <w:r>
        <w:t>Data Preprocessing</w:t>
      </w:r>
    </w:p>
    <w:p w14:paraId="6D4D71CC" w14:textId="3591FD5A" w:rsidR="00F15FA7" w:rsidRPr="00027A8D" w:rsidRDefault="00F15FA7" w:rsidP="00F15FA7">
      <w:pPr>
        <w:pStyle w:val="BulkofText"/>
      </w:pPr>
      <w:bookmarkStart w:id="3" w:name="_Hlk206963943"/>
      <w:r>
        <w:t>The</w:t>
      </w:r>
      <w:r w:rsidR="00B24DFF">
        <w:t xml:space="preserve"> logit transformation</w:t>
      </w:r>
      <w:r w:rsidR="00027A8D">
        <w:t xml:space="preserve"> with an epsilon of 0.0001</w:t>
      </w:r>
      <w:r w:rsidR="00B24DFF">
        <w:t xml:space="preserve"> was fairly successful in reducing the skew of the data, with the untransformed </w:t>
      </w:r>
      <w:r w:rsidR="00B24DFF">
        <w:rPr>
          <w:i/>
        </w:rPr>
        <w:t xml:space="preserve">Ascophyllum </w:t>
      </w:r>
      <w:r w:rsidR="00B24DFF">
        <w:t xml:space="preserve">and </w:t>
      </w:r>
      <w:r w:rsidR="00B24DFF">
        <w:rPr>
          <w:i/>
        </w:rPr>
        <w:t xml:space="preserve">Fucus </w:t>
      </w:r>
      <w:r w:rsidR="00B24DFF">
        <w:t xml:space="preserve">having skew values of </w:t>
      </w:r>
      <w:r w:rsidR="00027A8D">
        <w:t xml:space="preserve">1.282 and 0.672, respectively, and the transformed </w:t>
      </w:r>
      <w:r w:rsidR="00027A8D">
        <w:rPr>
          <w:i/>
        </w:rPr>
        <w:t xml:space="preserve">Ascophyllum </w:t>
      </w:r>
      <w:r w:rsidR="00027A8D">
        <w:t xml:space="preserve">and </w:t>
      </w:r>
      <w:r w:rsidR="00027A8D">
        <w:rPr>
          <w:i/>
        </w:rPr>
        <w:t>Fucus</w:t>
      </w:r>
      <w:r w:rsidR="00027A8D">
        <w:t xml:space="preserve"> having skew values of 0.767 and 0.067, respectively. This represents a more symmetrical distribution post-transformation which should improve model performance.</w:t>
      </w:r>
      <w:bookmarkEnd w:id="3"/>
    </w:p>
    <w:p w14:paraId="07B9E43B" w14:textId="62F9F841" w:rsidR="00152920" w:rsidRDefault="00DA2D8F" w:rsidP="00BF5443">
      <w:pPr>
        <w:pStyle w:val="Heading2"/>
      </w:pPr>
      <w:r>
        <w:lastRenderedPageBreak/>
        <w:t>Feature Engineering</w:t>
      </w:r>
    </w:p>
    <w:p w14:paraId="14896696" w14:textId="37427484" w:rsidR="00152920" w:rsidRPr="00152920" w:rsidRDefault="00F15FA7" w:rsidP="00152920">
      <w:pPr>
        <w:pStyle w:val="BulkofText"/>
      </w:pPr>
      <w:bookmarkStart w:id="4" w:name="_Hlk206964105"/>
      <w:r>
        <w:t xml:space="preserve">Location name, target species, and plot name were manually removed despite having high scores from the OOB </w:t>
      </w:r>
      <w:r w:rsidR="00201C4F">
        <w:t>Random Forest</w:t>
      </w:r>
      <w:r>
        <w:t xml:space="preserve"> importance metrics. </w:t>
      </w:r>
      <w:r w:rsidR="001D745B">
        <w:t xml:space="preserve">Location name was first filtered to only include observations from Acadia National Park, then was removed as a column, as this analysis is only focused on Acadia, not the Boston Harbor Islands. </w:t>
      </w:r>
      <w:r>
        <w:t xml:space="preserve">Target species, the value referring to the original target species of the plot (i.e., </w:t>
      </w:r>
      <w:r>
        <w:rPr>
          <w:i/>
        </w:rPr>
        <w:t>Ascophyllum</w:t>
      </w:r>
      <w:r>
        <w:t xml:space="preserve"> plots, red algae plots, etc.) was removed, as separating the site into areas that are historically associated with a specific species is not a helpful lens for this analysis. Plot name was removed, as they are arbitrary labels for the different plots (i.e., R5 for the fifth red algae plot on any given site) and do not contain any meaningful information. There is no meaningful comparison between an R5 plot on one site and an R5 plot on another, aside from the fact that they are both in the red algae area. </w:t>
      </w:r>
    </w:p>
    <w:bookmarkEnd w:id="4"/>
    <w:p w14:paraId="69B6D1A1" w14:textId="56E265AA" w:rsidR="003C2DE7" w:rsidRPr="00BF5443" w:rsidRDefault="00865EB2" w:rsidP="00BF5443">
      <w:pPr>
        <w:pStyle w:val="Heading2"/>
      </w:pPr>
      <w:r>
        <w:t>Training – Test Split</w:t>
      </w:r>
    </w:p>
    <w:p w14:paraId="7E469876" w14:textId="3398B64E" w:rsidR="00F64B43" w:rsidRDefault="00BF5443" w:rsidP="00865EB2">
      <w:pPr>
        <w:pStyle w:val="BulkofText"/>
      </w:pPr>
      <w:r>
        <w:t>The</w:t>
      </w:r>
      <w:r w:rsidR="00F15FA7">
        <w:t xml:space="preserve"> optimal split is an 85:15 training to testing split. This is in the same realm as the general use 80:20 or 70:30 splits.</w:t>
      </w:r>
    </w:p>
    <w:p w14:paraId="5EB32AD4" w14:textId="12A267A7" w:rsidR="00865EB2" w:rsidRPr="00BF5443" w:rsidRDefault="00865EB2" w:rsidP="00865EB2">
      <w:pPr>
        <w:pStyle w:val="Heading2"/>
      </w:pPr>
      <w:r>
        <w:t>Initial Modeling</w:t>
      </w:r>
    </w:p>
    <w:p w14:paraId="5C449695" w14:textId="48EB7A63" w:rsidR="004F79E6" w:rsidRPr="00D143DE" w:rsidRDefault="00865EB2" w:rsidP="00865EB2">
      <w:pPr>
        <w:pStyle w:val="BulkofText"/>
        <w:rPr>
          <w:i/>
        </w:rPr>
      </w:pPr>
      <w:r>
        <w:t>The</w:t>
      </w:r>
      <w:r w:rsidR="001D745B">
        <w:t xml:space="preserve"> initial OOB </w:t>
      </w:r>
      <w:r w:rsidR="00201C4F">
        <w:t>Random Forest</w:t>
      </w:r>
      <w:r w:rsidR="001D745B">
        <w:t xml:space="preserve"> models with the logit-transformation performed well. When predicting </w:t>
      </w:r>
      <w:r w:rsidR="00E32B5A">
        <w:rPr>
          <w:i/>
        </w:rPr>
        <w:t>A. nodosum</w:t>
      </w:r>
      <w:r w:rsidR="001D745B">
        <w:rPr>
          <w:i/>
        </w:rPr>
        <w:t xml:space="preserve"> </w:t>
      </w:r>
      <w:r w:rsidR="001D745B">
        <w:t>percent cover, the model had a</w:t>
      </w:r>
      <w:r w:rsidR="00377982">
        <w:t>n R</w:t>
      </w:r>
      <w:r w:rsidR="00377982">
        <w:rPr>
          <w:vertAlign w:val="superscript"/>
        </w:rPr>
        <w:t>2</w:t>
      </w:r>
      <w:r w:rsidR="00377982">
        <w:t xml:space="preserve"> value of </w:t>
      </w:r>
      <w:r w:rsidR="00021605" w:rsidRPr="00021605">
        <w:t>90.35</w:t>
      </w:r>
      <w:r w:rsidR="00377982" w:rsidRPr="00377982">
        <w:t xml:space="preserve">, which suggests a strong fit to the data, and a mean squared error of </w:t>
      </w:r>
      <w:r w:rsidR="00021605">
        <w:t>2.135</w:t>
      </w:r>
      <w:r w:rsidR="00377982" w:rsidRPr="00377982">
        <w:t>. When predicting</w:t>
      </w:r>
      <w:r w:rsidR="00377982">
        <w:t xml:space="preserve"> </w:t>
      </w:r>
      <w:r w:rsidR="00021605">
        <w:rPr>
          <w:i/>
        </w:rPr>
        <w:t>F</w:t>
      </w:r>
      <w:r w:rsidR="00377982">
        <w:rPr>
          <w:i/>
        </w:rPr>
        <w:t xml:space="preserve">. </w:t>
      </w:r>
      <w:r w:rsidR="00021605">
        <w:rPr>
          <w:i/>
        </w:rPr>
        <w:t>vesi</w:t>
      </w:r>
      <w:r w:rsidR="00E32B5A">
        <w:rPr>
          <w:i/>
        </w:rPr>
        <w:t>culosus</w:t>
      </w:r>
      <w:r w:rsidR="00377982">
        <w:rPr>
          <w:i/>
        </w:rPr>
        <w:t xml:space="preserve"> </w:t>
      </w:r>
      <w:r w:rsidR="00377982">
        <w:t>percent cover, the model had an R</w:t>
      </w:r>
      <w:r w:rsidR="00377982">
        <w:rPr>
          <w:vertAlign w:val="superscript"/>
        </w:rPr>
        <w:t>2</w:t>
      </w:r>
      <w:r w:rsidR="00377982">
        <w:t xml:space="preserve"> value of</w:t>
      </w:r>
      <w:r w:rsidR="00021605">
        <w:t xml:space="preserve"> 82.2</w:t>
      </w:r>
      <w:r w:rsidR="00377982" w:rsidRPr="00377982">
        <w:t>, which</w:t>
      </w:r>
      <w:r w:rsidR="00021605">
        <w:t xml:space="preserve"> again</w:t>
      </w:r>
      <w:r w:rsidR="00377982" w:rsidRPr="00377982">
        <w:t xml:space="preserve"> suggests a strong fit to the data, and a me</w:t>
      </w:r>
      <w:r w:rsidR="00377982">
        <w:t xml:space="preserve">an squared error of </w:t>
      </w:r>
      <w:r w:rsidR="00021605">
        <w:t>4.505</w:t>
      </w:r>
      <w:r w:rsidR="00377982">
        <w:t xml:space="preserve">. The error values are more difficult to evaluate as they are </w:t>
      </w:r>
      <w:r w:rsidR="00377982">
        <w:lastRenderedPageBreak/>
        <w:t>output from the model in logit space, which is not directly comparable to their original raw values.</w:t>
      </w:r>
      <w:r w:rsidR="00CB6332">
        <w:t xml:space="preserve"> Back-converting from the logit transformation is not one to one either, and varies depending on the original value. </w:t>
      </w:r>
      <w:r w:rsidR="00E32B5A">
        <w:t xml:space="preserve">Figure 1 examines the change in back-converted error value compared to true percent cover value, which shows a slight increase in the error rate in the middle of the range for both </w:t>
      </w:r>
      <w:r w:rsidR="00E32B5A">
        <w:rPr>
          <w:i/>
        </w:rPr>
        <w:t>Fucus</w:t>
      </w:r>
      <w:r w:rsidR="00E32B5A">
        <w:t xml:space="preserve"> and </w:t>
      </w:r>
      <w:r w:rsidR="00E32B5A">
        <w:rPr>
          <w:i/>
        </w:rPr>
        <w:t>Ascophyllum</w:t>
      </w:r>
      <w:r w:rsidR="00E32B5A">
        <w:t xml:space="preserve">, with relatively low error at either end of the spectrum, as well as the highest density of data points at either end. </w:t>
      </w:r>
      <w:r w:rsidR="00D143DE">
        <w:t>This suggests that the model performs best when predicting at the extreme ends of the spectrum, which is also the most common observed case for both target algal species.</w:t>
      </w:r>
    </w:p>
    <w:p w14:paraId="441E0E64" w14:textId="77777777" w:rsidR="00E32B5A" w:rsidRDefault="00E32B5A" w:rsidP="00E32B5A">
      <w:pPr>
        <w:pStyle w:val="BulkofText"/>
        <w:keepNext/>
      </w:pPr>
      <w:r>
        <w:rPr>
          <w:noProof/>
        </w:rPr>
        <w:drawing>
          <wp:inline distT="0" distB="0" distL="0" distR="0" wp14:anchorId="38F8A317" wp14:editId="27936B5E">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53702805" w14:textId="331A2BA0" w:rsidR="00E32B5A" w:rsidRPr="00D143DE" w:rsidRDefault="00E32B5A" w:rsidP="00E32B5A">
      <w:pPr>
        <w:pStyle w:val="Caption"/>
        <w:rPr>
          <w:b w:val="0"/>
          <w:i w:val="0"/>
        </w:rPr>
      </w:pPr>
      <w:r w:rsidRPr="00D143DE">
        <w:rPr>
          <w:b w:val="0"/>
          <w:i w:val="0"/>
        </w:rPr>
        <w:t xml:space="preserve">Figure </w:t>
      </w:r>
      <w:r w:rsidRPr="00D143DE">
        <w:rPr>
          <w:b w:val="0"/>
          <w:i w:val="0"/>
        </w:rPr>
        <w:fldChar w:fldCharType="begin"/>
      </w:r>
      <w:r w:rsidRPr="00D143DE">
        <w:rPr>
          <w:b w:val="0"/>
          <w:i w:val="0"/>
        </w:rPr>
        <w:instrText xml:space="preserve"> SEQ Figure \* ARABIC </w:instrText>
      </w:r>
      <w:r w:rsidRPr="00D143DE">
        <w:rPr>
          <w:b w:val="0"/>
          <w:i w:val="0"/>
        </w:rPr>
        <w:fldChar w:fldCharType="separate"/>
      </w:r>
      <w:r w:rsidRPr="00D143DE">
        <w:rPr>
          <w:b w:val="0"/>
          <w:i w:val="0"/>
          <w:noProof/>
        </w:rPr>
        <w:t>1</w:t>
      </w:r>
      <w:r w:rsidRPr="00D143DE">
        <w:rPr>
          <w:b w:val="0"/>
          <w:i w:val="0"/>
        </w:rPr>
        <w:fldChar w:fldCharType="end"/>
      </w:r>
      <w:r w:rsidRPr="00D143DE">
        <w:rPr>
          <w:b w:val="0"/>
          <w:i w:val="0"/>
        </w:rPr>
        <w:t xml:space="preserve"> - Out of Bag </w:t>
      </w:r>
      <w:r w:rsidR="00201C4F">
        <w:rPr>
          <w:b w:val="0"/>
          <w:i w:val="0"/>
        </w:rPr>
        <w:t>Random Forest</w:t>
      </w:r>
      <w:r w:rsidRPr="00D143DE">
        <w:rPr>
          <w:b w:val="0"/>
          <w:i w:val="0"/>
        </w:rPr>
        <w:t xml:space="preserve"> model prediction error compared to actual percent cover value of </w:t>
      </w:r>
      <w:r w:rsidRPr="00D143DE">
        <w:rPr>
          <w:b w:val="0"/>
        </w:rPr>
        <w:t>Fucus vesiculosus</w:t>
      </w:r>
      <w:r w:rsidRPr="00D143DE">
        <w:rPr>
          <w:b w:val="0"/>
          <w:i w:val="0"/>
        </w:rPr>
        <w:t xml:space="preserve"> and </w:t>
      </w:r>
      <w:r w:rsidRPr="00D143DE">
        <w:rPr>
          <w:b w:val="0"/>
        </w:rPr>
        <w:t>Ascophyllum nodosum</w:t>
      </w:r>
      <w:r w:rsidRPr="00D143DE">
        <w:rPr>
          <w:b w:val="0"/>
          <w:i w:val="0"/>
        </w:rPr>
        <w:t xml:space="preserve"> in the rocky intertidal of Acadia National Park. Most data points are clustered around the extremes (0 – 25 percent cover or 75 – 100 percent cover). The mean absolute error rate is consistently low, below 10% cover, with a slight increase in the middle of the range (between 25 – 50 percent cover) in both target species. This suggests that the model is best at predicting values in the extreme ranges of percent cover, which is also where the two target species tend to fall most frequently</w:t>
      </w:r>
      <w:r w:rsidR="00D143DE" w:rsidRPr="00D143DE">
        <w:rPr>
          <w:b w:val="0"/>
          <w:i w:val="0"/>
        </w:rPr>
        <w:t>; the model is best at predicting the most common cases.</w:t>
      </w:r>
    </w:p>
    <w:p w14:paraId="7A119D6B" w14:textId="69B59B0C" w:rsidR="00BF2797" w:rsidRPr="00D82A90" w:rsidRDefault="00BF2797" w:rsidP="00BF2797">
      <w:pPr>
        <w:pStyle w:val="Heading1"/>
        <w:spacing w:before="0"/>
      </w:pPr>
      <w:r>
        <w:lastRenderedPageBreak/>
        <w:t>Discussion</w:t>
      </w:r>
    </w:p>
    <w:p w14:paraId="10D10A82" w14:textId="0A4F48D2" w:rsidR="00BF2797" w:rsidRDefault="00647E03" w:rsidP="00BF5443">
      <w:pPr>
        <w:pStyle w:val="Heading2"/>
      </w:pPr>
      <w:r>
        <w:t>Conclusions</w:t>
      </w:r>
    </w:p>
    <w:p w14:paraId="5E9B136B" w14:textId="36C7E3C2" w:rsidR="00647E03" w:rsidRPr="00201C4F" w:rsidRDefault="008D3F78" w:rsidP="00647E03">
      <w:pPr>
        <w:pStyle w:val="BulkofText"/>
      </w:pPr>
      <w:r>
        <w:t xml:space="preserve">The </w:t>
      </w:r>
      <w:r w:rsidR="00201C4F">
        <w:t xml:space="preserve">initial test run of the model as an out-of-bag Random Forest shows promising results, with a strong fit to the data and low error rates when predicting both </w:t>
      </w:r>
      <w:r w:rsidR="00201C4F">
        <w:rPr>
          <w:i/>
        </w:rPr>
        <w:t xml:space="preserve">Fucus </w:t>
      </w:r>
      <w:r w:rsidR="00201C4F">
        <w:t xml:space="preserve">and </w:t>
      </w:r>
      <w:r w:rsidR="00201C4F">
        <w:rPr>
          <w:i/>
        </w:rPr>
        <w:t>Ascophyllum</w:t>
      </w:r>
      <w:r w:rsidR="00201C4F">
        <w:t xml:space="preserve"> percent cover. While the Random Forest model can handle a high number of predictor variables, the features have been successfully pared down to a more manageable amount, removing unimportant variables manually and by evaluating importance via Random Forest. The model is likely not yet performing optimally but does serve as a proof of concept that the data does support a predictive model for </w:t>
      </w:r>
      <w:r w:rsidR="00201C4F">
        <w:rPr>
          <w:i/>
        </w:rPr>
        <w:t xml:space="preserve">Fucus </w:t>
      </w:r>
      <w:r w:rsidR="00201C4F">
        <w:t xml:space="preserve">and </w:t>
      </w:r>
      <w:r w:rsidR="00201C4F">
        <w:rPr>
          <w:i/>
        </w:rPr>
        <w:t xml:space="preserve">Ascophyllum </w:t>
      </w:r>
      <w:r w:rsidR="00201C4F">
        <w:t>percent cover.</w:t>
      </w:r>
    </w:p>
    <w:p w14:paraId="485F03DF" w14:textId="53D3D21C" w:rsidR="00647E03" w:rsidRDefault="00647E03" w:rsidP="00BF5443">
      <w:pPr>
        <w:pStyle w:val="Heading2"/>
      </w:pPr>
      <w:r>
        <w:t>Next Steps</w:t>
      </w:r>
    </w:p>
    <w:p w14:paraId="17AEA4FE" w14:textId="3F812D94" w:rsidR="000F24DA" w:rsidRDefault="00201C4F" w:rsidP="003E5781">
      <w:pPr>
        <w:pStyle w:val="BulkofText"/>
      </w:pPr>
      <w:r>
        <w:t>The most critical next step is to adapt the model that has been developed so far into one that better addresses the research question. What I have realized late in the initial modeling phase is that, while the model performs well and is able to predict algal percent cover within a year, the output of this particular does not actually predict the future year’s percent cover values. If we could collect all the other data for future years and input it into this model, we could reasonably predict the target species percent cover values, but that is not feasible nor valuable for the specific need at hand. Instead, I will explore creating a time-lagged model that uses previous years’ values as predictors to predict the current year’s target species percent cover. If that model is successful, then that will more sufficiently address the research question posed.</w:t>
      </w:r>
      <w:r w:rsidR="000F24DA">
        <w:t xml:space="preserve"> I will also look to use cross validation to tweak the Random Forest hyperparameters like the </w:t>
      </w:r>
      <w:r w:rsidR="000F24DA">
        <w:lastRenderedPageBreak/>
        <w:t>number of trees and the number of variables in each tree, as right now I have arbitrarily selected 500 trees and 10 variables per tree as a starting point that I saw as sufficiently complex to get a sense for model performance.</w:t>
      </w:r>
    </w:p>
    <w:p w14:paraId="5A09A80F" w14:textId="751D280B" w:rsidR="000F24DA" w:rsidRPr="000F24DA" w:rsidRDefault="000F24DA" w:rsidP="000F24DA">
      <w:pPr>
        <w:rPr>
          <w:rFonts w:ascii="Calibri" w:eastAsia="Arial" w:hAnsi="Calibri" w:cs="Calibri"/>
          <w:kern w:val="0"/>
          <w:sz w:val="24"/>
          <w:szCs w:val="24"/>
          <w14:ligatures w14:val="none"/>
        </w:rPr>
      </w:pPr>
      <w:r>
        <w:br w:type="page"/>
      </w:r>
    </w:p>
    <w:p w14:paraId="021167BE" w14:textId="77777777" w:rsidR="00876254" w:rsidRDefault="00876254" w:rsidP="003E5781">
      <w:pPr>
        <w:pStyle w:val="Heading1"/>
        <w:spacing w:before="0"/>
      </w:pPr>
      <w:r>
        <w:lastRenderedPageBreak/>
        <w:t>Appendix A: Data Dictionary</w:t>
      </w:r>
    </w:p>
    <w:p w14:paraId="290FCF29" w14:textId="302E7A2A" w:rsidR="00876254" w:rsidRPr="00876254" w:rsidRDefault="00876254" w:rsidP="00876254">
      <w:pPr>
        <w:pStyle w:val="Heading2"/>
      </w:pPr>
      <w:r>
        <w:t>NETN Rocky Intertidal Long Term Monitoring Protocol Data Dictionary</w:t>
      </w:r>
    </w:p>
    <w:tbl>
      <w:tblPr>
        <w:tblStyle w:val="PlainTable3"/>
        <w:tblW w:w="9108" w:type="dxa"/>
        <w:tblLayout w:type="fixed"/>
        <w:tblLook w:val="04A0" w:firstRow="1" w:lastRow="0" w:firstColumn="1" w:lastColumn="0" w:noHBand="0" w:noVBand="1"/>
      </w:tblPr>
      <w:tblGrid>
        <w:gridCol w:w="2448"/>
        <w:gridCol w:w="3019"/>
        <w:gridCol w:w="1661"/>
        <w:gridCol w:w="1350"/>
        <w:gridCol w:w="630"/>
      </w:tblGrid>
      <w:tr w:rsidR="00876254" w:rsidRPr="005C6A46" w14:paraId="5605714B" w14:textId="77777777" w:rsidTr="00972B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14:paraId="442238D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Variable Name</w:t>
            </w:r>
          </w:p>
        </w:tc>
        <w:tc>
          <w:tcPr>
            <w:tcW w:w="3019" w:type="dxa"/>
          </w:tcPr>
          <w:p w14:paraId="6FEAD762"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Description</w:t>
            </w:r>
          </w:p>
        </w:tc>
        <w:tc>
          <w:tcPr>
            <w:tcW w:w="1661" w:type="dxa"/>
          </w:tcPr>
          <w:p w14:paraId="1F55B78D"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Units / Scale</w:t>
            </w:r>
          </w:p>
        </w:tc>
        <w:tc>
          <w:tcPr>
            <w:tcW w:w="1350" w:type="dxa"/>
          </w:tcPr>
          <w:p w14:paraId="366F53E5"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Transformation</w:t>
            </w:r>
          </w:p>
        </w:tc>
        <w:tc>
          <w:tcPr>
            <w:tcW w:w="630" w:type="dxa"/>
          </w:tcPr>
          <w:p w14:paraId="67F25074"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Type</w:t>
            </w:r>
          </w:p>
        </w:tc>
      </w:tr>
      <w:tr w:rsidR="00876254" w:rsidRPr="005C6A46" w14:paraId="4BDB108C"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D82D74"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loc_name</w:t>
            </w:r>
          </w:p>
        </w:tc>
        <w:tc>
          <w:tcPr>
            <w:tcW w:w="3019" w:type="dxa"/>
          </w:tcPr>
          <w:p w14:paraId="6554817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Site name within Acadia National Park where survey was conducted (6 total sites)</w:t>
            </w:r>
          </w:p>
        </w:tc>
        <w:tc>
          <w:tcPr>
            <w:tcW w:w="1661" w:type="dxa"/>
          </w:tcPr>
          <w:p w14:paraId="75F8D47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Categorical (string)</w:t>
            </w:r>
          </w:p>
        </w:tc>
        <w:tc>
          <w:tcPr>
            <w:tcW w:w="1350" w:type="dxa"/>
          </w:tcPr>
          <w:p w14:paraId="65FC496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1A97C7D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Identifier</w:t>
            </w:r>
          </w:p>
        </w:tc>
      </w:tr>
      <w:tr w:rsidR="00876254" w:rsidRPr="005C6A46" w14:paraId="12AFEE1D"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2E16AB9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start_date</w:t>
            </w:r>
          </w:p>
        </w:tc>
        <w:tc>
          <w:tcPr>
            <w:tcW w:w="3019" w:type="dxa"/>
          </w:tcPr>
          <w:p w14:paraId="36C1ACC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Date of annual survey for that site/year</w:t>
            </w:r>
          </w:p>
        </w:tc>
        <w:tc>
          <w:tcPr>
            <w:tcW w:w="1661" w:type="dxa"/>
          </w:tcPr>
          <w:p w14:paraId="3F0F125C"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Date (MM/DD/YYYY)</w:t>
            </w:r>
          </w:p>
        </w:tc>
        <w:tc>
          <w:tcPr>
            <w:tcW w:w="1350" w:type="dxa"/>
          </w:tcPr>
          <w:p w14:paraId="40401DC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76C22FC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Identifier</w:t>
            </w:r>
          </w:p>
        </w:tc>
      </w:tr>
      <w:tr w:rsidR="00876254" w:rsidRPr="005C6A46" w14:paraId="720275C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24E9C1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rockweed_fucus_spp</w:t>
            </w:r>
          </w:p>
        </w:tc>
        <w:tc>
          <w:tcPr>
            <w:tcW w:w="3019" w:type="dxa"/>
          </w:tcPr>
          <w:p w14:paraId="1CC6D1C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rockweed (*Fucus* spp.)</w:t>
            </w:r>
          </w:p>
        </w:tc>
        <w:tc>
          <w:tcPr>
            <w:tcW w:w="1661" w:type="dxa"/>
          </w:tcPr>
          <w:p w14:paraId="1269CA2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F7E3B3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28B2E4D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073F42C"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636E4E4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knotted_wrack_a_nodosum</w:t>
            </w:r>
          </w:p>
        </w:tc>
        <w:tc>
          <w:tcPr>
            <w:tcW w:w="3019" w:type="dxa"/>
          </w:tcPr>
          <w:p w14:paraId="19BDF01B"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knotted wrack (*Ascophyllum nodosum*)</w:t>
            </w:r>
          </w:p>
        </w:tc>
        <w:tc>
          <w:tcPr>
            <w:tcW w:w="1661" w:type="dxa"/>
          </w:tcPr>
          <w:p w14:paraId="26B10E6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1817F8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005FAD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1C9FC9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6B2A6F"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barnacle_e_g_s_balanoides</w:t>
            </w:r>
          </w:p>
        </w:tc>
        <w:tc>
          <w:tcPr>
            <w:tcW w:w="3019" w:type="dxa"/>
          </w:tcPr>
          <w:p w14:paraId="29478DC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barnacles (*e.g.*, *Semibalanus balanoides*)</w:t>
            </w:r>
          </w:p>
        </w:tc>
        <w:tc>
          <w:tcPr>
            <w:tcW w:w="1661" w:type="dxa"/>
          </w:tcPr>
          <w:p w14:paraId="3916367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434A87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3305F7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B3BDE4C"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CED045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mussel_e_g_mytilus_edulis</w:t>
            </w:r>
          </w:p>
        </w:tc>
        <w:tc>
          <w:tcPr>
            <w:tcW w:w="3019" w:type="dxa"/>
          </w:tcPr>
          <w:p w14:paraId="2BCBD69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mussels (*e.g.*, *Mytilus edulis*)</w:t>
            </w:r>
          </w:p>
        </w:tc>
        <w:tc>
          <w:tcPr>
            <w:tcW w:w="1661" w:type="dxa"/>
          </w:tcPr>
          <w:p w14:paraId="45F3609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4CDCB5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5FD8DF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0EF5015"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2CBF1D5"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irish_moss_chondrus_mastocarpus</w:t>
            </w:r>
          </w:p>
        </w:tc>
        <w:tc>
          <w:tcPr>
            <w:tcW w:w="3019" w:type="dxa"/>
          </w:tcPr>
          <w:p w14:paraId="15096BB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Irish moss (*Chondrus crispus*, *Mastocarpus stellatus*)</w:t>
            </w:r>
          </w:p>
        </w:tc>
        <w:tc>
          <w:tcPr>
            <w:tcW w:w="1661" w:type="dxa"/>
          </w:tcPr>
          <w:p w14:paraId="2575541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128F58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3B60858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FB76D98"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7DFE66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kelp_e_g_laminaria_alaria</w:t>
            </w:r>
          </w:p>
        </w:tc>
        <w:tc>
          <w:tcPr>
            <w:tcW w:w="3019" w:type="dxa"/>
          </w:tcPr>
          <w:p w14:paraId="6397072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kelp (*e.g.*, *Laminaria* spp., *Alaria* spp.)</w:t>
            </w:r>
          </w:p>
        </w:tc>
        <w:tc>
          <w:tcPr>
            <w:tcW w:w="1661" w:type="dxa"/>
          </w:tcPr>
          <w:p w14:paraId="33F9A98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0BEA45E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3588E49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C69670B"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AF44526"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dulse_palmaria_palmata</w:t>
            </w:r>
          </w:p>
        </w:tc>
        <w:tc>
          <w:tcPr>
            <w:tcW w:w="3019" w:type="dxa"/>
          </w:tcPr>
          <w:p w14:paraId="280D8FF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dulse (*Palmaria palmata*)</w:t>
            </w:r>
          </w:p>
        </w:tc>
        <w:tc>
          <w:tcPr>
            <w:tcW w:w="1661" w:type="dxa"/>
          </w:tcPr>
          <w:p w14:paraId="2B596D7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0C973E8"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B70408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938E9E0"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2A2FAB9"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laver_porphyra_spp</w:t>
            </w:r>
          </w:p>
        </w:tc>
        <w:tc>
          <w:tcPr>
            <w:tcW w:w="3019" w:type="dxa"/>
          </w:tcPr>
          <w:p w14:paraId="417949F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laver (*Porphyra* spp.)</w:t>
            </w:r>
          </w:p>
        </w:tc>
        <w:tc>
          <w:tcPr>
            <w:tcW w:w="1661" w:type="dxa"/>
          </w:tcPr>
          <w:p w14:paraId="65189DB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C6783C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2A36F3E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D59EDE4"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770E5E1"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sea_lettuce_ulva_lactuca</w:t>
            </w:r>
          </w:p>
        </w:tc>
        <w:tc>
          <w:tcPr>
            <w:tcW w:w="3019" w:type="dxa"/>
          </w:tcPr>
          <w:p w14:paraId="012FC8B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Percent cover of sea lettuce (*Ulva </w:t>
            </w:r>
            <w:proofErr w:type="spellStart"/>
            <w:r w:rsidRPr="005C6A46">
              <w:rPr>
                <w:rFonts w:asciiTheme="majorHAnsi" w:hAnsiTheme="majorHAnsi" w:cstheme="majorHAnsi"/>
                <w:sz w:val="20"/>
                <w:szCs w:val="20"/>
              </w:rPr>
              <w:t>lactuca</w:t>
            </w:r>
            <w:proofErr w:type="spellEnd"/>
            <w:r w:rsidRPr="005C6A46">
              <w:rPr>
                <w:rFonts w:asciiTheme="majorHAnsi" w:hAnsiTheme="majorHAnsi" w:cstheme="majorHAnsi"/>
                <w:sz w:val="20"/>
                <w:szCs w:val="20"/>
              </w:rPr>
              <w:t>*)</w:t>
            </w:r>
          </w:p>
        </w:tc>
        <w:tc>
          <w:tcPr>
            <w:tcW w:w="1661" w:type="dxa"/>
          </w:tcPr>
          <w:p w14:paraId="21342ED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69F5821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A8D649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C3E9EE8"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2E0844A2"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articulated_corallines</w:t>
            </w:r>
          </w:p>
        </w:tc>
        <w:tc>
          <w:tcPr>
            <w:tcW w:w="3019" w:type="dxa"/>
          </w:tcPr>
          <w:p w14:paraId="0E3DB79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articulated coralline algae</w:t>
            </w:r>
          </w:p>
        </w:tc>
        <w:tc>
          <w:tcPr>
            <w:tcW w:w="1661" w:type="dxa"/>
          </w:tcPr>
          <w:p w14:paraId="70BA0E2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CBDBB4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5C61C7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63850FA"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62DB1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crustose_non_coraline</w:t>
            </w:r>
          </w:p>
        </w:tc>
        <w:tc>
          <w:tcPr>
            <w:tcW w:w="3019" w:type="dxa"/>
          </w:tcPr>
          <w:p w14:paraId="507AB1C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crustose non-coralline algae</w:t>
            </w:r>
          </w:p>
        </w:tc>
        <w:tc>
          <w:tcPr>
            <w:tcW w:w="1661" w:type="dxa"/>
          </w:tcPr>
          <w:p w14:paraId="0E04002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A85D91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BE61EC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119B6F9"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9874AA2"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other_algae_green</w:t>
            </w:r>
          </w:p>
        </w:tc>
        <w:tc>
          <w:tcPr>
            <w:tcW w:w="3019" w:type="dxa"/>
          </w:tcPr>
          <w:p w14:paraId="2646EB1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green algae species</w:t>
            </w:r>
          </w:p>
        </w:tc>
        <w:tc>
          <w:tcPr>
            <w:tcW w:w="1661" w:type="dxa"/>
          </w:tcPr>
          <w:p w14:paraId="09B59AB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16FD0B4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4A6E131"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B3AE380"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28D1B5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other_algae_red</w:t>
            </w:r>
          </w:p>
        </w:tc>
        <w:tc>
          <w:tcPr>
            <w:tcW w:w="3019" w:type="dxa"/>
          </w:tcPr>
          <w:p w14:paraId="1A5EAAE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red algae species</w:t>
            </w:r>
          </w:p>
        </w:tc>
        <w:tc>
          <w:tcPr>
            <w:tcW w:w="1661" w:type="dxa"/>
          </w:tcPr>
          <w:p w14:paraId="3CCE3E2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F330B6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744A2358"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22B579F0"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D367B24"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fucus_epibiont</w:t>
            </w:r>
          </w:p>
        </w:tc>
        <w:tc>
          <w:tcPr>
            <w:tcW w:w="3019" w:type="dxa"/>
          </w:tcPr>
          <w:p w14:paraId="2E1F058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epibionts on *Fucus* spp.</w:t>
            </w:r>
          </w:p>
        </w:tc>
        <w:tc>
          <w:tcPr>
            <w:tcW w:w="1661" w:type="dxa"/>
          </w:tcPr>
          <w:p w14:paraId="7723997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BC2E4B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ECBFCF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E8305C6"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713A1C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ascophyllum_epibont</w:t>
            </w:r>
          </w:p>
        </w:tc>
        <w:tc>
          <w:tcPr>
            <w:tcW w:w="3019" w:type="dxa"/>
          </w:tcPr>
          <w:p w14:paraId="37318AC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epibionts on *Ascophyllum nodosum*</w:t>
            </w:r>
          </w:p>
        </w:tc>
        <w:tc>
          <w:tcPr>
            <w:tcW w:w="1661" w:type="dxa"/>
          </w:tcPr>
          <w:p w14:paraId="02A7004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5BC2EF9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06E9CD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2823939"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53813C7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other_invertebrate</w:t>
            </w:r>
          </w:p>
        </w:tc>
        <w:tc>
          <w:tcPr>
            <w:tcW w:w="3019" w:type="dxa"/>
          </w:tcPr>
          <w:p w14:paraId="1FF9A2A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sessile invertebrate species (non-listed)</w:t>
            </w:r>
          </w:p>
        </w:tc>
        <w:tc>
          <w:tcPr>
            <w:tcW w:w="1661" w:type="dxa"/>
          </w:tcPr>
          <w:p w14:paraId="46E0EEE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3E3ADE4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736E1E0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CC6B15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8DA1B5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rock</w:t>
            </w:r>
          </w:p>
        </w:tc>
        <w:tc>
          <w:tcPr>
            <w:tcW w:w="3019" w:type="dxa"/>
          </w:tcPr>
          <w:p w14:paraId="2257DE6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bare rock substrate</w:t>
            </w:r>
          </w:p>
        </w:tc>
        <w:tc>
          <w:tcPr>
            <w:tcW w:w="1661" w:type="dxa"/>
          </w:tcPr>
          <w:p w14:paraId="1FFCE52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3F0A03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13EAED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B8B7FA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4D8F4AA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other_substrate</w:t>
            </w:r>
          </w:p>
        </w:tc>
        <w:tc>
          <w:tcPr>
            <w:tcW w:w="3019" w:type="dxa"/>
          </w:tcPr>
          <w:p w14:paraId="0D2EBB8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substrate types not listed elsewhere</w:t>
            </w:r>
          </w:p>
        </w:tc>
        <w:tc>
          <w:tcPr>
            <w:tcW w:w="1661" w:type="dxa"/>
          </w:tcPr>
          <w:p w14:paraId="54DC4CD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27C62B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8E3F06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C051C9A"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1AD25C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not_sampled</w:t>
            </w:r>
          </w:p>
        </w:tc>
        <w:tc>
          <w:tcPr>
            <w:tcW w:w="3019" w:type="dxa"/>
          </w:tcPr>
          <w:p w14:paraId="5A8E08C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quadrat area not surveyed or unable to be sampled</w:t>
            </w:r>
          </w:p>
        </w:tc>
        <w:tc>
          <w:tcPr>
            <w:tcW w:w="1661" w:type="dxa"/>
          </w:tcPr>
          <w:p w14:paraId="15F44FF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58AD09C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15DF17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38A905F"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3B27068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lastRenderedPageBreak/>
              <w:t>common_periwinkle_littorina_littorea</w:t>
            </w:r>
          </w:p>
        </w:tc>
        <w:tc>
          <w:tcPr>
            <w:tcW w:w="3019" w:type="dxa"/>
          </w:tcPr>
          <w:p w14:paraId="6332526E"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common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littorea*) per plot</w:t>
            </w:r>
          </w:p>
        </w:tc>
        <w:tc>
          <w:tcPr>
            <w:tcW w:w="1661" w:type="dxa"/>
          </w:tcPr>
          <w:p w14:paraId="1C911EF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065E2E9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662D510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A897E45"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5D17F01"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smooth_periwinkle_littorina_obtusata</w:t>
            </w:r>
          </w:p>
        </w:tc>
        <w:tc>
          <w:tcPr>
            <w:tcW w:w="3019" w:type="dxa"/>
          </w:tcPr>
          <w:p w14:paraId="710211D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smooth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obtusata*) per plot</w:t>
            </w:r>
          </w:p>
        </w:tc>
        <w:tc>
          <w:tcPr>
            <w:tcW w:w="1661" w:type="dxa"/>
          </w:tcPr>
          <w:p w14:paraId="7772719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7C7B9E3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D719C64"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E65552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7BE0406"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rough_periwinkle_littorina_saxatilis</w:t>
            </w:r>
          </w:p>
        </w:tc>
        <w:tc>
          <w:tcPr>
            <w:tcW w:w="3019" w:type="dxa"/>
          </w:tcPr>
          <w:p w14:paraId="1FACFD7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rough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saxatilis*) per plot</w:t>
            </w:r>
          </w:p>
        </w:tc>
        <w:tc>
          <w:tcPr>
            <w:tcW w:w="1661" w:type="dxa"/>
          </w:tcPr>
          <w:p w14:paraId="4A84D3A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64B7F56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004E141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37A2CA44"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08085C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dogwhelk_nucella_lapillus</w:t>
            </w:r>
          </w:p>
        </w:tc>
        <w:tc>
          <w:tcPr>
            <w:tcW w:w="3019" w:type="dxa"/>
          </w:tcPr>
          <w:p w14:paraId="7D97CAA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Abundance of dogwhelk (*Nucella lapillus*) per plot</w:t>
            </w:r>
          </w:p>
        </w:tc>
        <w:tc>
          <w:tcPr>
            <w:tcW w:w="1661" w:type="dxa"/>
          </w:tcPr>
          <w:p w14:paraId="434723F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1B3BA1C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59B95FF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A111AC1"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B36562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limpet_tectura_testudinalis</w:t>
            </w:r>
          </w:p>
        </w:tc>
        <w:tc>
          <w:tcPr>
            <w:tcW w:w="3019" w:type="dxa"/>
          </w:tcPr>
          <w:p w14:paraId="6E9368D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Abundance of limpet (*Tectura testudinalis*) per plot</w:t>
            </w:r>
          </w:p>
        </w:tc>
        <w:tc>
          <w:tcPr>
            <w:tcW w:w="1661" w:type="dxa"/>
          </w:tcPr>
          <w:p w14:paraId="2829B7C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637C25A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CBC979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E40F0A1"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D3C4B35"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common_periwinkle_littorina_littorea_mean_measure</w:t>
            </w:r>
          </w:p>
        </w:tc>
        <w:tc>
          <w:tcPr>
            <w:tcW w:w="3019" w:type="dxa"/>
          </w:tcPr>
          <w:p w14:paraId="6D1E1C1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common periwinkle (average of up to 10 individuals if abundance &gt; 10)</w:t>
            </w:r>
          </w:p>
        </w:tc>
        <w:tc>
          <w:tcPr>
            <w:tcW w:w="1661" w:type="dxa"/>
          </w:tcPr>
          <w:p w14:paraId="3727ED5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11C977A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78FF1E7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7AE8E0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4C5C474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smooth_periwinkle_littorina_obtusata_mean_measure</w:t>
            </w:r>
          </w:p>
        </w:tc>
        <w:tc>
          <w:tcPr>
            <w:tcW w:w="3019" w:type="dxa"/>
          </w:tcPr>
          <w:p w14:paraId="0B26385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smooth periwinkle</w:t>
            </w:r>
          </w:p>
        </w:tc>
        <w:tc>
          <w:tcPr>
            <w:tcW w:w="1661" w:type="dxa"/>
          </w:tcPr>
          <w:p w14:paraId="544C567E"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0F9F076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62EBB5E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30FC62F7"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E8B68FA"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rough_periwinkle_littorina_saxatilis_mean_measure</w:t>
            </w:r>
          </w:p>
        </w:tc>
        <w:tc>
          <w:tcPr>
            <w:tcW w:w="3019" w:type="dxa"/>
          </w:tcPr>
          <w:p w14:paraId="55470EC5"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rough periwinkle</w:t>
            </w:r>
          </w:p>
        </w:tc>
        <w:tc>
          <w:tcPr>
            <w:tcW w:w="1661" w:type="dxa"/>
          </w:tcPr>
          <w:p w14:paraId="220E6E24"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1EA4150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17C6642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015CE3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5D6D65CF"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dogwhelk_nucella_lapillus_mean_measure</w:t>
            </w:r>
          </w:p>
        </w:tc>
        <w:tc>
          <w:tcPr>
            <w:tcW w:w="3019" w:type="dxa"/>
          </w:tcPr>
          <w:p w14:paraId="48E7AC5C"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dogwhelk</w:t>
            </w:r>
          </w:p>
        </w:tc>
        <w:tc>
          <w:tcPr>
            <w:tcW w:w="1661" w:type="dxa"/>
          </w:tcPr>
          <w:p w14:paraId="7ACC306B"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066A616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3A27488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86E6012"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94DACA"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limpet_tectura_testudinalis_mean_measure</w:t>
            </w:r>
          </w:p>
        </w:tc>
        <w:tc>
          <w:tcPr>
            <w:tcW w:w="3019" w:type="dxa"/>
          </w:tcPr>
          <w:p w14:paraId="7C9A43C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limpet</w:t>
            </w:r>
          </w:p>
        </w:tc>
        <w:tc>
          <w:tcPr>
            <w:tcW w:w="1661" w:type="dxa"/>
          </w:tcPr>
          <w:p w14:paraId="4528408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34405D4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447254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bl>
    <w:p w14:paraId="0FDD9ED0" w14:textId="77777777" w:rsidR="00876254" w:rsidRDefault="00876254">
      <w:pPr>
        <w:rPr>
          <w:rFonts w:ascii="Calibri" w:eastAsiaTheme="majorEastAsia" w:hAnsi="Calibri" w:cs="Calibri"/>
          <w:b/>
          <w:bCs/>
          <w:sz w:val="36"/>
          <w:szCs w:val="36"/>
        </w:rPr>
      </w:pPr>
      <w:r>
        <w:br w:type="page"/>
      </w:r>
    </w:p>
    <w:p w14:paraId="1412796D" w14:textId="20F5C6F0" w:rsidR="00910C71" w:rsidRDefault="00910C71" w:rsidP="00090F42">
      <w:pPr>
        <w:pStyle w:val="Heading1"/>
        <w:numPr>
          <w:ilvl w:val="0"/>
          <w:numId w:val="0"/>
        </w:numPr>
        <w:spacing w:before="0"/>
      </w:pPr>
      <w:r>
        <w:lastRenderedPageBreak/>
        <w:t>References</w:t>
      </w:r>
    </w:p>
    <w:p w14:paraId="67B21564" w14:textId="77777777" w:rsidR="000B5B16" w:rsidRPr="000B5B16" w:rsidRDefault="00910C71" w:rsidP="000B5B16">
      <w:pPr>
        <w:pStyle w:val="Bibliography"/>
        <w:rPr>
          <w:rFonts w:ascii="Calibri" w:hAnsi="Calibri" w:cs="Calibri"/>
        </w:rPr>
      </w:pPr>
      <w:r>
        <w:fldChar w:fldCharType="begin"/>
      </w:r>
      <w:r w:rsidR="008D5000">
        <w:instrText xml:space="preserve"> ADDIN ZOTERO_BIBL {"uncited":[],"omitted":[],"custom":[]} CSL_BIBLIOGRAPHY </w:instrText>
      </w:r>
      <w:r>
        <w:fldChar w:fldCharType="separate"/>
      </w:r>
      <w:r w:rsidR="000B5B16" w:rsidRPr="000B5B16">
        <w:rPr>
          <w:rFonts w:ascii="Calibri" w:hAnsi="Calibri" w:cs="Calibri"/>
        </w:rPr>
        <w:t>Cheng, H., M. D. McMahan, S. B. Scyphers, L. McClenachan, and J. H. Grabowski. 2025. Observations, perceptions and concerns of the American lobster industry regarding the range-expansion of Black Sea Bass. Marine Policy 173:106517.</w:t>
      </w:r>
    </w:p>
    <w:p w14:paraId="35EB92D1" w14:textId="77777777" w:rsidR="000B5B16" w:rsidRPr="000B5B16" w:rsidRDefault="000B5B16" w:rsidP="000B5B16">
      <w:pPr>
        <w:pStyle w:val="Bibliography"/>
        <w:rPr>
          <w:rFonts w:ascii="Calibri" w:hAnsi="Calibri" w:cs="Calibri"/>
        </w:rPr>
      </w:pPr>
      <w:r w:rsidRPr="000B5B16">
        <w:rPr>
          <w:rFonts w:ascii="Calibri" w:hAnsi="Calibri" w:cs="Calibri"/>
        </w:rPr>
        <w:t>Clarke, K. R. 1993. Non‐parametric multivariate analyses of changes in community structure. Australian Journal of Ecology 18:117–143.</w:t>
      </w:r>
    </w:p>
    <w:p w14:paraId="296C2E93" w14:textId="77777777" w:rsidR="000B5B16" w:rsidRPr="000B5B16" w:rsidRDefault="000B5B16" w:rsidP="000B5B16">
      <w:pPr>
        <w:pStyle w:val="Bibliography"/>
        <w:rPr>
          <w:rFonts w:ascii="Calibri" w:hAnsi="Calibri" w:cs="Calibri"/>
        </w:rPr>
      </w:pPr>
      <w:r w:rsidRPr="000B5B16">
        <w:rPr>
          <w:rFonts w:ascii="Calibri" w:hAnsi="Calibri" w:cs="Calibri"/>
        </w:rPr>
        <w:t>Cohen, A. N., J. T. Carlton, and M. C. Fountain. 1995. Introduction, dispersal and potential impacts of the green crab Carcinus maenas in San Francisco Bay, California. Marine Biology 122:225–237.</w:t>
      </w:r>
    </w:p>
    <w:p w14:paraId="36437E4B" w14:textId="77777777" w:rsidR="000B5B16" w:rsidRPr="000B5B16" w:rsidRDefault="000B5B16" w:rsidP="000B5B16">
      <w:pPr>
        <w:pStyle w:val="Bibliography"/>
        <w:rPr>
          <w:rFonts w:ascii="Calibri" w:hAnsi="Calibri" w:cs="Calibri"/>
        </w:rPr>
      </w:pPr>
      <w:r w:rsidRPr="000B5B16">
        <w:rPr>
          <w:rFonts w:ascii="Calibri" w:hAnsi="Calibri" w:cs="Calibri"/>
        </w:rPr>
        <w:t>Epifanio, C. E. 2013. Invasion biology of the Asian shore crab Hemigrapsus sanguineus: A review. Journal of Experimental Marine Biology and Ecology 441:33–49.</w:t>
      </w:r>
    </w:p>
    <w:p w14:paraId="5650C242" w14:textId="77777777" w:rsidR="000B5B16" w:rsidRPr="000B5B16" w:rsidRDefault="000B5B16" w:rsidP="000B5B16">
      <w:pPr>
        <w:pStyle w:val="Bibliography"/>
        <w:rPr>
          <w:rFonts w:ascii="Calibri" w:hAnsi="Calibri" w:cs="Calibri"/>
        </w:rPr>
      </w:pPr>
      <w:r w:rsidRPr="000B5B16">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733954F6" w14:textId="77777777" w:rsidR="000B5B16" w:rsidRPr="000B5B16" w:rsidRDefault="000B5B16" w:rsidP="000B5B16">
      <w:pPr>
        <w:pStyle w:val="Bibliography"/>
        <w:rPr>
          <w:rFonts w:ascii="Calibri" w:hAnsi="Calibri" w:cs="Calibri"/>
        </w:rPr>
      </w:pPr>
      <w:r w:rsidRPr="000B5B16">
        <w:rPr>
          <w:rFonts w:ascii="Calibri" w:hAnsi="Calibri" w:cs="Calibri"/>
        </w:rPr>
        <w:t>Johnson, D. S. 2015. The Savory Swimmer Swims North: A Northern Range Extension of the Blue Crab Callinectes Sapidus? Journal of Crustacean Biology 35:105–110.</w:t>
      </w:r>
    </w:p>
    <w:p w14:paraId="797D4C49" w14:textId="77777777" w:rsidR="000B5B16" w:rsidRPr="000B5B16" w:rsidRDefault="000B5B16" w:rsidP="000B5B16">
      <w:pPr>
        <w:pStyle w:val="Bibliography"/>
        <w:rPr>
          <w:rFonts w:ascii="Calibri" w:hAnsi="Calibri" w:cs="Calibri"/>
        </w:rPr>
      </w:pPr>
      <w:r w:rsidRPr="000B5B16">
        <w:rPr>
          <w:rFonts w:ascii="Calibri" w:hAnsi="Calibri" w:cs="Calibri"/>
        </w:rPr>
        <w:t>Joseph, V. R. 2022. Optimal ratio for data splitting. Statistical Analysis and Data Mining: The ASA Data Science Journal 15:531–538.</w:t>
      </w:r>
    </w:p>
    <w:p w14:paraId="56E49483" w14:textId="77777777" w:rsidR="000B5B16" w:rsidRPr="000B5B16" w:rsidRDefault="000B5B16" w:rsidP="000B5B16">
      <w:pPr>
        <w:pStyle w:val="Bibliography"/>
        <w:rPr>
          <w:rFonts w:ascii="Calibri" w:hAnsi="Calibri" w:cs="Calibri"/>
        </w:rPr>
      </w:pPr>
      <w:r w:rsidRPr="000B5B16">
        <w:rPr>
          <w:rFonts w:ascii="Calibri" w:hAnsi="Calibri" w:cs="Calibri"/>
        </w:rPr>
        <w:t>Linnaeus, C. 1753. Species plantarum, exhibentes plantas rite cognitas ad genera relatas cum differentiis specificis, nominibus trivialibus, synonymis selectis, locis natalibus, secundum systema sexuale digestas. Vol 1.</w:t>
      </w:r>
    </w:p>
    <w:p w14:paraId="1A225982" w14:textId="77777777" w:rsidR="000B5B16" w:rsidRPr="000B5B16" w:rsidRDefault="000B5B16" w:rsidP="000B5B16">
      <w:pPr>
        <w:pStyle w:val="Bibliography"/>
        <w:rPr>
          <w:rFonts w:ascii="Calibri" w:hAnsi="Calibri" w:cs="Calibri"/>
        </w:rPr>
      </w:pPr>
      <w:r w:rsidRPr="000B5B16">
        <w:rPr>
          <w:rFonts w:ascii="Calibri" w:hAnsi="Calibri" w:cs="Calibri"/>
        </w:rPr>
        <w:t>Minchin, P., and L. Rennie. 2010. Does the Hellinger transformation make PCA a viable method for community ordination? 95th Annual ESA Meeting Contributed Oral Papers.</w:t>
      </w:r>
    </w:p>
    <w:p w14:paraId="32D083A1" w14:textId="77777777" w:rsidR="000B5B16" w:rsidRPr="000B5B16" w:rsidRDefault="000B5B16" w:rsidP="000B5B16">
      <w:pPr>
        <w:pStyle w:val="Bibliography"/>
        <w:rPr>
          <w:rFonts w:ascii="Calibri" w:hAnsi="Calibri" w:cs="Calibri"/>
        </w:rPr>
      </w:pPr>
      <w:r w:rsidRPr="000B5B16">
        <w:rPr>
          <w:rFonts w:ascii="Calibri" w:hAnsi="Calibri" w:cs="Calibri"/>
        </w:rPr>
        <w:t>Trott, T. J. 2022. Mesoscale Spatial Patterns of Gulf of Maine Rocky Intertidal Communities. Diversity 14:557.</w:t>
      </w:r>
    </w:p>
    <w:p w14:paraId="04568232" w14:textId="77777777" w:rsidR="000B5B16" w:rsidRPr="000B5B16" w:rsidRDefault="000B5B16" w:rsidP="000B5B16">
      <w:pPr>
        <w:pStyle w:val="Bibliography"/>
        <w:rPr>
          <w:rFonts w:ascii="Calibri" w:hAnsi="Calibri" w:cs="Calibri"/>
        </w:rPr>
      </w:pPr>
      <w:r w:rsidRPr="000B5B16">
        <w:rPr>
          <w:rFonts w:ascii="Calibri" w:hAnsi="Calibri" w:cs="Calibri"/>
        </w:rPr>
        <w:t>Watson, D. C., and T. A. Norton. 1985. Dietary preferences of the common periwinkle, Littorinalittorea (L.). Journal of Experimental Marine Biology and Ecology 88:193–211.</w:t>
      </w:r>
    </w:p>
    <w:p w14:paraId="05CD6F51" w14:textId="77777777" w:rsidR="000B5B16" w:rsidRPr="000B5B16" w:rsidRDefault="000B5B16" w:rsidP="000B5B16">
      <w:pPr>
        <w:pStyle w:val="Bibliography"/>
        <w:rPr>
          <w:rFonts w:ascii="Calibri" w:hAnsi="Calibri" w:cs="Calibri"/>
        </w:rPr>
      </w:pPr>
      <w:r w:rsidRPr="000B5B16">
        <w:rPr>
          <w:rFonts w:ascii="Calibri" w:hAnsi="Calibri" w:cs="Calibri"/>
        </w:rPr>
        <w:t>Watson, D. C., and T. A. Norton. 1987. The habitat and feeding preferences of Littorina obtusata (L.) and L. mariae sacchi et rastelli. Journal of Experimental Marine Biology and Ecology 112:61–72.</w:t>
      </w:r>
    </w:p>
    <w:p w14:paraId="35341DEA" w14:textId="77777777" w:rsidR="000B5B16" w:rsidRPr="000B5B16" w:rsidRDefault="000B5B16" w:rsidP="000B5B16">
      <w:pPr>
        <w:pStyle w:val="Bibliography"/>
        <w:rPr>
          <w:rFonts w:ascii="Calibri" w:hAnsi="Calibri" w:cs="Calibri"/>
        </w:rPr>
      </w:pPr>
      <w:r w:rsidRPr="000B5B16">
        <w:rPr>
          <w:rFonts w:ascii="Calibri" w:hAnsi="Calibri" w:cs="Calibri"/>
        </w:rPr>
        <w:t>Yamada, S. B. 2001. Global invader: the European green crab.</w:t>
      </w:r>
    </w:p>
    <w:p w14:paraId="6594A1C2" w14:textId="6EA164AB" w:rsidR="00910C71" w:rsidRPr="00910C71" w:rsidRDefault="00910C71" w:rsidP="00910C71">
      <w:r>
        <w:fldChar w:fldCharType="end"/>
      </w:r>
    </w:p>
    <w:sectPr w:rsidR="00910C71" w:rsidRPr="00910C71" w:rsidSect="00E2403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6A51E" w14:textId="77777777" w:rsidR="00281F1A" w:rsidRDefault="00281F1A">
      <w:pPr>
        <w:spacing w:after="0" w:line="240" w:lineRule="auto"/>
      </w:pPr>
      <w:r>
        <w:separator/>
      </w:r>
    </w:p>
  </w:endnote>
  <w:endnote w:type="continuationSeparator" w:id="0">
    <w:p w14:paraId="173F8D4A" w14:textId="77777777" w:rsidR="00281F1A" w:rsidRDefault="0028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C4B3B" w14:textId="77777777" w:rsidR="00281F1A" w:rsidRDefault="00281F1A">
      <w:pPr>
        <w:spacing w:after="0" w:line="240" w:lineRule="auto"/>
      </w:pPr>
      <w:r>
        <w:separator/>
      </w:r>
    </w:p>
  </w:footnote>
  <w:footnote w:type="continuationSeparator" w:id="0">
    <w:p w14:paraId="364DA57F" w14:textId="77777777" w:rsidR="00281F1A" w:rsidRDefault="00281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2DD77301" w:rsidR="00E2403E" w:rsidRPr="00773F33" w:rsidRDefault="008D5000" w:rsidP="00773F33">
    <w:pPr>
      <w:pStyle w:val="Header"/>
    </w:pPr>
    <w:r>
      <w:rPr>
        <w:rFonts w:ascii="Calibri" w:hAnsi="Calibri" w:cs="Calibri"/>
        <w:bCs/>
        <w:i/>
        <w:iCs/>
        <w:color w:val="808080" w:themeColor="background1" w:themeShade="80"/>
        <w:sz w:val="16"/>
        <w:szCs w:val="16"/>
      </w:rPr>
      <w:t>Data Preprocessin</w:t>
    </w:r>
    <w:r w:rsidR="001D745B">
      <w:rPr>
        <w:rFonts w:ascii="Calibri" w:hAnsi="Calibri" w:cs="Calibri"/>
        <w:bCs/>
        <w:i/>
        <w:iCs/>
        <w:color w:val="808080" w:themeColor="background1" w:themeShade="80"/>
        <w:sz w:val="16"/>
        <w:szCs w:val="16"/>
      </w:rPr>
      <w:t xml:space="preserve">g, </w:t>
    </w:r>
    <w:r>
      <w:rPr>
        <w:rFonts w:ascii="Calibri" w:hAnsi="Calibri" w:cs="Calibri"/>
        <w:bCs/>
        <w:i/>
        <w:iCs/>
        <w:color w:val="808080" w:themeColor="background1" w:themeShade="80"/>
        <w:sz w:val="16"/>
        <w:szCs w:val="16"/>
      </w:rPr>
      <w:t>Feature Engineering</w:t>
    </w:r>
    <w:r w:rsidR="001D745B">
      <w:rPr>
        <w:rFonts w:ascii="Calibri" w:hAnsi="Calibri" w:cs="Calibri"/>
        <w:bCs/>
        <w:i/>
        <w:iCs/>
        <w:color w:val="808080" w:themeColor="background1" w:themeShade="80"/>
        <w:sz w:val="16"/>
        <w:szCs w:val="16"/>
      </w:rPr>
      <w:t>, and Initial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575811">
    <w:abstractNumId w:val="3"/>
  </w:num>
  <w:num w:numId="2" w16cid:durableId="1438258804">
    <w:abstractNumId w:val="2"/>
  </w:num>
  <w:num w:numId="3" w16cid:durableId="729960277">
    <w:abstractNumId w:val="6"/>
  </w:num>
  <w:num w:numId="4" w16cid:durableId="1629123504">
    <w:abstractNumId w:val="8"/>
  </w:num>
  <w:num w:numId="5" w16cid:durableId="1032999948">
    <w:abstractNumId w:val="0"/>
  </w:num>
  <w:num w:numId="6" w16cid:durableId="993335131">
    <w:abstractNumId w:val="1"/>
  </w:num>
  <w:num w:numId="7" w16cid:durableId="87237055">
    <w:abstractNumId w:val="4"/>
  </w:num>
  <w:num w:numId="8" w16cid:durableId="540823744">
    <w:abstractNumId w:val="5"/>
  </w:num>
  <w:num w:numId="9" w16cid:durableId="1697383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21605"/>
    <w:rsid w:val="00027A8D"/>
    <w:rsid w:val="00035695"/>
    <w:rsid w:val="00042B05"/>
    <w:rsid w:val="000510FD"/>
    <w:rsid w:val="00090F42"/>
    <w:rsid w:val="000B0A94"/>
    <w:rsid w:val="000B5B16"/>
    <w:rsid w:val="000F08FF"/>
    <w:rsid w:val="000F24DA"/>
    <w:rsid w:val="00112A76"/>
    <w:rsid w:val="00152920"/>
    <w:rsid w:val="0015736D"/>
    <w:rsid w:val="0019456F"/>
    <w:rsid w:val="001A23B4"/>
    <w:rsid w:val="001D745B"/>
    <w:rsid w:val="001E03B2"/>
    <w:rsid w:val="001E1EA6"/>
    <w:rsid w:val="001F718F"/>
    <w:rsid w:val="00201C4F"/>
    <w:rsid w:val="002065CE"/>
    <w:rsid w:val="0021395A"/>
    <w:rsid w:val="00240F41"/>
    <w:rsid w:val="00257DC1"/>
    <w:rsid w:val="0026023F"/>
    <w:rsid w:val="00263880"/>
    <w:rsid w:val="002718F2"/>
    <w:rsid w:val="00272086"/>
    <w:rsid w:val="00281F1A"/>
    <w:rsid w:val="002C754F"/>
    <w:rsid w:val="002E12DB"/>
    <w:rsid w:val="002F3C95"/>
    <w:rsid w:val="00352C3A"/>
    <w:rsid w:val="00367990"/>
    <w:rsid w:val="00372687"/>
    <w:rsid w:val="00377982"/>
    <w:rsid w:val="00393964"/>
    <w:rsid w:val="0039438D"/>
    <w:rsid w:val="003C2DE7"/>
    <w:rsid w:val="003D727D"/>
    <w:rsid w:val="003E5781"/>
    <w:rsid w:val="003F0739"/>
    <w:rsid w:val="003F6F31"/>
    <w:rsid w:val="00405CC6"/>
    <w:rsid w:val="00415E50"/>
    <w:rsid w:val="00425093"/>
    <w:rsid w:val="004327F3"/>
    <w:rsid w:val="004328C3"/>
    <w:rsid w:val="004751F5"/>
    <w:rsid w:val="0048200C"/>
    <w:rsid w:val="004A4225"/>
    <w:rsid w:val="004E53CF"/>
    <w:rsid w:val="004F79E6"/>
    <w:rsid w:val="005006E3"/>
    <w:rsid w:val="005152B4"/>
    <w:rsid w:val="00516F93"/>
    <w:rsid w:val="00517639"/>
    <w:rsid w:val="00550519"/>
    <w:rsid w:val="0055406D"/>
    <w:rsid w:val="0055594B"/>
    <w:rsid w:val="0057306E"/>
    <w:rsid w:val="0057755F"/>
    <w:rsid w:val="005957A9"/>
    <w:rsid w:val="005A3C7E"/>
    <w:rsid w:val="005A75ED"/>
    <w:rsid w:val="005C6FCA"/>
    <w:rsid w:val="005D053D"/>
    <w:rsid w:val="005E5716"/>
    <w:rsid w:val="0060462D"/>
    <w:rsid w:val="0061081F"/>
    <w:rsid w:val="00622B6A"/>
    <w:rsid w:val="00640077"/>
    <w:rsid w:val="00647E03"/>
    <w:rsid w:val="0065061F"/>
    <w:rsid w:val="006579EB"/>
    <w:rsid w:val="0066421B"/>
    <w:rsid w:val="00675FF6"/>
    <w:rsid w:val="00694512"/>
    <w:rsid w:val="006A66A1"/>
    <w:rsid w:val="006F6114"/>
    <w:rsid w:val="00707F81"/>
    <w:rsid w:val="00723845"/>
    <w:rsid w:val="0075180D"/>
    <w:rsid w:val="0076246E"/>
    <w:rsid w:val="007720E3"/>
    <w:rsid w:val="00773A31"/>
    <w:rsid w:val="00773F33"/>
    <w:rsid w:val="00796C0F"/>
    <w:rsid w:val="007A3CB2"/>
    <w:rsid w:val="007E14EE"/>
    <w:rsid w:val="007E357C"/>
    <w:rsid w:val="007E5633"/>
    <w:rsid w:val="007E662B"/>
    <w:rsid w:val="007F4A74"/>
    <w:rsid w:val="00835706"/>
    <w:rsid w:val="00865EB2"/>
    <w:rsid w:val="00876254"/>
    <w:rsid w:val="00887E99"/>
    <w:rsid w:val="00895809"/>
    <w:rsid w:val="008B44B5"/>
    <w:rsid w:val="008C2B65"/>
    <w:rsid w:val="008D3F78"/>
    <w:rsid w:val="008D5000"/>
    <w:rsid w:val="00910C71"/>
    <w:rsid w:val="00911F75"/>
    <w:rsid w:val="0091697C"/>
    <w:rsid w:val="00931A50"/>
    <w:rsid w:val="00933195"/>
    <w:rsid w:val="009435AB"/>
    <w:rsid w:val="00957520"/>
    <w:rsid w:val="00971EB5"/>
    <w:rsid w:val="009F7DEC"/>
    <w:rsid w:val="00A003ED"/>
    <w:rsid w:val="00A04FA8"/>
    <w:rsid w:val="00A069B4"/>
    <w:rsid w:val="00AB12F7"/>
    <w:rsid w:val="00AD3EC1"/>
    <w:rsid w:val="00AD55AE"/>
    <w:rsid w:val="00AF4A06"/>
    <w:rsid w:val="00B24DFF"/>
    <w:rsid w:val="00B25809"/>
    <w:rsid w:val="00B421C8"/>
    <w:rsid w:val="00B46DB7"/>
    <w:rsid w:val="00B7352A"/>
    <w:rsid w:val="00B82F1E"/>
    <w:rsid w:val="00B8367B"/>
    <w:rsid w:val="00B83F5B"/>
    <w:rsid w:val="00BA55B0"/>
    <w:rsid w:val="00BC4288"/>
    <w:rsid w:val="00BD2B01"/>
    <w:rsid w:val="00BD3CD2"/>
    <w:rsid w:val="00BD4DAB"/>
    <w:rsid w:val="00BE4A08"/>
    <w:rsid w:val="00BF025B"/>
    <w:rsid w:val="00BF2797"/>
    <w:rsid w:val="00BF5443"/>
    <w:rsid w:val="00BF5DDB"/>
    <w:rsid w:val="00BF693F"/>
    <w:rsid w:val="00C06613"/>
    <w:rsid w:val="00C15CC7"/>
    <w:rsid w:val="00C326E2"/>
    <w:rsid w:val="00C33CC6"/>
    <w:rsid w:val="00C739E5"/>
    <w:rsid w:val="00CB6332"/>
    <w:rsid w:val="00CD5414"/>
    <w:rsid w:val="00CE295A"/>
    <w:rsid w:val="00CF4DCE"/>
    <w:rsid w:val="00D143DE"/>
    <w:rsid w:val="00D330E6"/>
    <w:rsid w:val="00D7064A"/>
    <w:rsid w:val="00D757B4"/>
    <w:rsid w:val="00D77685"/>
    <w:rsid w:val="00D82A90"/>
    <w:rsid w:val="00DA2D8F"/>
    <w:rsid w:val="00DB1E27"/>
    <w:rsid w:val="00DD3511"/>
    <w:rsid w:val="00E21057"/>
    <w:rsid w:val="00E2403E"/>
    <w:rsid w:val="00E24C6B"/>
    <w:rsid w:val="00E30394"/>
    <w:rsid w:val="00E30EC7"/>
    <w:rsid w:val="00E32B5A"/>
    <w:rsid w:val="00E32D17"/>
    <w:rsid w:val="00E70821"/>
    <w:rsid w:val="00E94BBF"/>
    <w:rsid w:val="00E95F65"/>
    <w:rsid w:val="00E96516"/>
    <w:rsid w:val="00EE69B8"/>
    <w:rsid w:val="00F01C7C"/>
    <w:rsid w:val="00F15FA7"/>
    <w:rsid w:val="00F24F00"/>
    <w:rsid w:val="00F43FE0"/>
    <w:rsid w:val="00F546EF"/>
    <w:rsid w:val="00F64B43"/>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 w:type="table" w:styleId="PlainTable3">
    <w:name w:val="Plain Table 3"/>
    <w:basedOn w:val="TableNormal"/>
    <w:uiPriority w:val="99"/>
    <w:rsid w:val="00876254"/>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873885204">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255165320">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4C83-14BE-4F52-B17D-B8F5FFAF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6318</TotalTime>
  <Pages>12</Pages>
  <Words>5938</Words>
  <Characters>33847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31</cp:revision>
  <dcterms:created xsi:type="dcterms:W3CDTF">2025-06-05T13:20:00Z</dcterms:created>
  <dcterms:modified xsi:type="dcterms:W3CDTF">2025-08-25T04:01:00Z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id="D6iE6FPW"/&gt;&lt;style id="http://www.zotero.org/styles/ecology" hasBibliography="1" bibliographyStyleHasBeenSet="1"/&gt;&lt;prefs&gt;&lt;pref name="fieldType" value="Field"/&gt;&lt;/prefs&gt;&lt;/data&gt;</vt:lpwstr>
  </property>
</Properties>
</file>