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EBE42" w14:textId="0D80CD29" w:rsidR="005006E3" w:rsidRPr="007A3CB2" w:rsidRDefault="00C06613" w:rsidP="007A3CB2">
      <w:pPr>
        <w:pStyle w:val="Title"/>
        <w:rPr>
          <w:rFonts w:ascii="Calibri" w:hAnsi="Calibri" w:cs="Calibri"/>
        </w:rPr>
      </w:pPr>
      <w:r>
        <w:rPr>
          <w:rFonts w:ascii="Calibri" w:hAnsi="Calibri" w:cs="Calibri"/>
        </w:rPr>
        <w:t>Predicting Community Assemblage in The Rocky Intertidal of Acadia National Park</w:t>
      </w:r>
      <w:r w:rsidR="00BF025B">
        <w:rPr>
          <w:rFonts w:ascii="Calibri" w:hAnsi="Calibri" w:cs="Calibri"/>
        </w:rPr>
        <w:br/>
      </w:r>
      <w:bookmarkStart w:id="0" w:name="_Hlk196092901"/>
      <w:r w:rsidR="00A003ED">
        <w:t>Exploratory Data Analysis Report</w:t>
      </w:r>
    </w:p>
    <w:bookmarkEnd w:id="0"/>
    <w:p w14:paraId="6C52F6FD" w14:textId="645A7A34" w:rsidR="007A3CB2" w:rsidRPr="007A3CB2" w:rsidRDefault="007A3CB2" w:rsidP="007A3CB2">
      <w:pPr>
        <w:pStyle w:val="Subtitle"/>
      </w:pPr>
      <w:r>
        <w:t>DSE</w:t>
      </w:r>
      <w:r w:rsidR="0019456F">
        <w:t>6</w:t>
      </w:r>
      <w:r w:rsidR="00C06613">
        <w:t>311</w:t>
      </w:r>
      <w:r>
        <w:t xml:space="preserve"> – S</w:t>
      </w:r>
      <w:r w:rsidR="0019456F">
        <w:t>U</w:t>
      </w:r>
      <w:r w:rsidR="00C06613">
        <w:t>2</w:t>
      </w:r>
      <w:r>
        <w:t xml:space="preserve"> 2025</w:t>
      </w:r>
      <w:r>
        <w:br/>
        <w:t>Nick Lagoni</w:t>
      </w:r>
      <w:r>
        <w:br/>
      </w:r>
      <w:r w:rsidR="00C06613">
        <w:t>7</w:t>
      </w:r>
      <w:r>
        <w:t>/</w:t>
      </w:r>
      <w:r w:rsidR="00C15CC7">
        <w:t>2</w:t>
      </w:r>
      <w:r w:rsidR="00A003ED">
        <w:t>9</w:t>
      </w:r>
      <w:r>
        <w:t>/2025</w:t>
      </w:r>
    </w:p>
    <w:p w14:paraId="3C327749" w14:textId="6273079E" w:rsidR="005006E3" w:rsidRPr="00CE295A" w:rsidRDefault="005006E3" w:rsidP="0039438D">
      <w:pPr>
        <w:pStyle w:val="BulkofText"/>
      </w:pPr>
      <w:r w:rsidRPr="00CE295A">
        <w:br w:type="page"/>
      </w:r>
    </w:p>
    <w:p w14:paraId="49DE456E" w14:textId="393DB1B9" w:rsidR="00E70821" w:rsidRDefault="00E70821" w:rsidP="000F08FF">
      <w:pPr>
        <w:pStyle w:val="Heading1"/>
        <w:spacing w:before="0"/>
      </w:pPr>
      <w:r>
        <w:lastRenderedPageBreak/>
        <w:t>Introduction</w:t>
      </w:r>
    </w:p>
    <w:p w14:paraId="2D23FE52" w14:textId="6300E7C3" w:rsidR="00C06613" w:rsidRPr="005C6FCA" w:rsidRDefault="00A003ED" w:rsidP="005C6FCA">
      <w:pPr>
        <w:pStyle w:val="Heading2"/>
      </w:pPr>
      <w:r>
        <w:t>Research Question</w:t>
      </w:r>
    </w:p>
    <w:p w14:paraId="70CF25A2" w14:textId="46BD02C3" w:rsidR="00A003ED" w:rsidRPr="00D82A90" w:rsidRDefault="00A003ED" w:rsidP="00A003ED">
      <w:pPr>
        <w:pStyle w:val="BulkofText"/>
      </w:pPr>
      <w:r w:rsidRPr="00D82A90">
        <w:t xml:space="preserve">The primary research question posed by this analysis is: can we accurately predict how the </w:t>
      </w:r>
      <w:r>
        <w:t xml:space="preserve">percent cover of ecosystem engineers </w:t>
      </w:r>
      <w:r>
        <w:rPr>
          <w:i/>
          <w:iCs/>
        </w:rPr>
        <w:t>Ascophyllum nodosum</w:t>
      </w:r>
      <w:r>
        <w:t xml:space="preserve"> and </w:t>
      </w:r>
      <w:r>
        <w:rPr>
          <w:i/>
          <w:iCs/>
        </w:rPr>
        <w:t>Fucus vesiculosus</w:t>
      </w:r>
      <w:r w:rsidRPr="00D82A90">
        <w:t xml:space="preserve"> of the rocky intertidal in Acadia National Park will change in the near future, and what variables (including </w:t>
      </w:r>
      <w:r>
        <w:t>substrate composition</w:t>
      </w:r>
      <w:r>
        <w:t xml:space="preserve"> and </w:t>
      </w:r>
      <w:r>
        <w:t>invertebrate</w:t>
      </w:r>
      <w:r w:rsidRPr="00D82A90">
        <w:t xml:space="preserve"> abundance</w:t>
      </w:r>
      <w:r>
        <w:t xml:space="preserve">) </w:t>
      </w:r>
      <w:r w:rsidRPr="00D82A90">
        <w:t xml:space="preserve">are the strongest predictors of </w:t>
      </w:r>
      <w:r>
        <w:t>said percent cover?</w:t>
      </w:r>
      <w:r w:rsidRPr="00D82A90">
        <w:t xml:space="preserve"> While long-term monitoring has been ongoing through the Northeast Temperate Network (NETN) in the Inventory and Monitoring Division of the National Park Service (NPS) since 2013, no significant analysis has been done on this subject since that protocol began.</w:t>
      </w:r>
    </w:p>
    <w:p w14:paraId="616EC416" w14:textId="583CB1A9" w:rsidR="00A003ED" w:rsidRPr="00D82A90" w:rsidRDefault="00A003ED" w:rsidP="00A003ED">
      <w:pPr>
        <w:pStyle w:val="BulkofText"/>
      </w:pPr>
      <w:r w:rsidRPr="00D82A90">
        <w:t>I hypothesize that presence and abundance of motile invertebrates will significantly predict the</w:t>
      </w:r>
      <w:r>
        <w:t xml:space="preserve"> substrate percent cover of </w:t>
      </w:r>
      <w:r w:rsidRPr="00D82A90">
        <w:rPr>
          <w:i/>
          <w:iCs/>
        </w:rPr>
        <w:t xml:space="preserve">Fucus </w:t>
      </w:r>
      <w:r>
        <w:rPr>
          <w:i/>
          <w:iCs/>
        </w:rPr>
        <w:t xml:space="preserve">vesiculosus </w:t>
      </w:r>
      <w:r>
        <w:rPr>
          <w:i/>
          <w:iCs/>
        </w:rPr>
        <w:fldChar w:fldCharType="begin"/>
      </w:r>
      <w:r>
        <w:rPr>
          <w:i/>
          <w:iCs/>
        </w:rPr>
        <w:instrText xml:space="preserve"> ADDIN ZOTERO_ITEM CSL_CITATION {"citationID":"SdPyudob","properties":{"formattedCitation":"(Linnaeus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t xml:space="preserve"> and</w:t>
      </w:r>
      <w:r w:rsidRPr="00D82A90">
        <w:t xml:space="preserve"> </w:t>
      </w:r>
      <w:r w:rsidRPr="00D82A90">
        <w:rPr>
          <w:i/>
          <w:iCs/>
        </w:rPr>
        <w:t xml:space="preserve">Ascophyllum </w:t>
      </w:r>
      <w:r>
        <w:rPr>
          <w:i/>
          <w:iCs/>
        </w:rPr>
        <w:t xml:space="preserve">nodosum </w:t>
      </w:r>
      <w:r>
        <w:rPr>
          <w:i/>
          <w:iCs/>
        </w:rPr>
        <w:fldChar w:fldCharType="begin"/>
      </w:r>
      <w:r>
        <w:rPr>
          <w:i/>
          <w:iCs/>
        </w:rPr>
        <w:instrText xml:space="preserve"> ADDIN ZOTERO_ITEM CSL_CITATION {"citationID":"0dCudMAl","properties":{"formattedCitation":"(Linnaeus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rsidRPr="00D82A90">
        <w:t xml:space="preserve"> in the Acadia rocky intertidal over time. </w:t>
      </w:r>
    </w:p>
    <w:p w14:paraId="698A1186" w14:textId="71655A0E" w:rsidR="00A003ED" w:rsidRPr="00D82A90" w:rsidRDefault="00A003ED" w:rsidP="00A003ED">
      <w:pPr>
        <w:pStyle w:val="BulkofText"/>
      </w:pPr>
      <w:r w:rsidRPr="00D82A90">
        <w:t xml:space="preserve">I predict that an increase in the abundance of motile invertebrates </w:t>
      </w:r>
      <w:r w:rsidRPr="00D82A90">
        <w:rPr>
          <w:i/>
          <w:iCs/>
        </w:rPr>
        <w:t>Littorina obtusata</w:t>
      </w:r>
      <w:r>
        <w:t xml:space="preserve"> will significantly be associated with a significant reduction in the </w:t>
      </w:r>
      <w:r w:rsidRPr="00D82A90">
        <w:t>algal cover</w:t>
      </w:r>
      <w:r>
        <w:t xml:space="preserve"> of </w:t>
      </w:r>
      <w:r>
        <w:rPr>
          <w:i/>
          <w:iCs/>
        </w:rPr>
        <w:t xml:space="preserve">F. vesiculosus </w:t>
      </w:r>
      <w:r>
        <w:t xml:space="preserve">and </w:t>
      </w:r>
      <w:r>
        <w:rPr>
          <w:i/>
          <w:iCs/>
        </w:rPr>
        <w:t>A. nodosum</w:t>
      </w:r>
      <w:r>
        <w:t xml:space="preserve">, as these periwinkles have been shown to feed on both of these species </w:t>
      </w:r>
      <w:r>
        <w:fldChar w:fldCharType="begin"/>
      </w:r>
      <w:r>
        <w:instrText xml:space="preserve"> ADDIN ZOTERO_ITEM CSL_CITATION {"citationID":"Qpk3iTQd","properties":{"formattedCitation":"(Hadlock 1979, Watson and Norton 1987)","plainCitation":"(Hadlock 1979, Watson and Norton 1987)","noteIndex":0},"citationItems":[{"id":221,"uris":["http://zotero.org/users/13044088/items/PLELCQID"],"itemData":{"id":221,"type":"thesis","event-place":"Kingston, RI","genre":"Master's thesis","publisher":"Department of Zoology, University of Rhode Island","publisher-place":"Kingston, RI","title":"The distribution of Littorina obtusata (L.) in the rocky intertidal: effects of competition with Littorina littorea (L.)","author":[{"family":"Hadlock","given":"R. H."}],"issued":{"date-parts":[["1979"]]}}},{"id":220,"uris":["http://zotero.org/users/13044088/items/TCGYILPE"],"itemData":{"id":220,"type":"article-journal","abstract":"The vertical zonation of the flat periwinkles Littorina obtusata (L.) and L. mariae Sacchi et Rastelli is different, but overlaps. At a sheltered location on the Isle of Cumbrae, Scotland, L. obtusata, although most abundant on Fucus vesiculosus L. and Ascophyllum nodosum (L.) Le Jol. on the midshore, ranged over the entire shore from the Pelvetia zone down to the upper limits of Laminaria. Littorina mariae exhibited a much more restricted distribution being associated predominantly with Fucus serratus L. on the lower shore. In laboratory trials with adult plants, flat periwinkles found fucoid algae both more attractive and more palatable than other seaweeds. Littorina obtusata also preferred the reproductive receptacles of fucoid algae to their vegetative tissue. Tiny germlings of a diversity of seaweeds were readily consumed by L. obtusata. In choice experiments germling Ulva lactuca L. was preferred to adult U. lactuca, whereas adult Fucus serratus was preferred to germling F. serratus. Contrasting foraging behaviours between different species of flat periwinkle are discussed in relation to differences in their radular dentition.","container-title":"Journal of Experimental Marine Biology and Ecology","DOI":"10.1016/S0022-0981(87)80015-1","ISSN":"0022-0981","issue":"1","journalAbbreviation":"Journal of Experimental Marine Biology and Ecology","page":"61-72","title":"The habitat and feeding preferences of Littorina obtusata (L.) and L. mariae sacchi et rastelli","volume":"112","author":[{"family":"Watson","given":"David C."},{"family":"Norton","given":"Trevor A."}],"issued":{"date-parts":[["1987",9,24]]}}}],"schema":"https://github.com/citation-style-language/schema/raw/master/csl-citation.json"} </w:instrText>
      </w:r>
      <w:r>
        <w:fldChar w:fldCharType="separate"/>
      </w:r>
      <w:r w:rsidRPr="0060462D">
        <w:t>(Hadlock 1979, Watson and Norton 1987)</w:t>
      </w:r>
      <w:r>
        <w:fldChar w:fldCharType="end"/>
      </w:r>
      <w:r w:rsidRPr="00D82A90">
        <w:t xml:space="preserve">. </w:t>
      </w:r>
      <w:r>
        <w:t xml:space="preserve">I predict that </w:t>
      </w:r>
      <w:r>
        <w:rPr>
          <w:i/>
          <w:iCs/>
        </w:rPr>
        <w:t xml:space="preserve">Littorina littorea </w:t>
      </w:r>
      <w:r>
        <w:t xml:space="preserve">abundance will not significantly predict the </w:t>
      </w:r>
      <w:r w:rsidRPr="00D82A90">
        <w:t>algal cover</w:t>
      </w:r>
      <w:r>
        <w:t xml:space="preserve"> of </w:t>
      </w:r>
      <w:r>
        <w:rPr>
          <w:i/>
          <w:iCs/>
        </w:rPr>
        <w:t xml:space="preserve">F. vesiculosus </w:t>
      </w:r>
      <w:r>
        <w:t xml:space="preserve">and </w:t>
      </w:r>
      <w:r>
        <w:rPr>
          <w:i/>
          <w:iCs/>
        </w:rPr>
        <w:t>A. nodosum</w:t>
      </w:r>
      <w:r>
        <w:t xml:space="preserve">, as this species has been shown to avoid feeding on these species </w:t>
      </w:r>
      <w:r>
        <w:fldChar w:fldCharType="begin"/>
      </w:r>
      <w:r>
        <w:instrText xml:space="preserve"> ADDIN ZOTERO_ITEM CSL_CITATION {"citationID":"Kw9qdoaK","properties":{"formattedCitation":"(Watson and Norton 1985)","plainCitation":"(Watson and Norton 1985)","noteIndex":0},"citationItems":[{"id":73,"uris":["http://zotero.org/users/13044088/items/89Y3UHRT"],"itemData":{"id":73,"type":"article-journal","abstract":"In gustatory choice experiments with mature macroalgae, grazing by the common periwinkle, Littorina littorea (L.), was highly selective in favour of the foliose ephemeral green algae, Ulva lactuca L. and Enteromorpha intestinalis (L.) Link. The fucoid, Ascophyllum nodosum (L.) Le Jol., and the calcareous red alga, Corallina officinalis L., were rejected even under conditions of considerable nutritional duress. Results of attractiveness trials were similar, emphasizing the important selective rôle of gustatory considerations. Macroalgal edibility was not influenced by a prolonged period of starvation or by enforced habituation to a non-preferred species. There was, however, some evidence to suggest that previous feeding experience altered algal attractiveness significantly, prompting less discriminate feeding. A high degree of selectivity was also apparent for algal germlings. Lawns of germling Ulva lactuca and Enteromorpha intestinalis were strongly preferred to juvenile Mastocarpus stellatus (Stackh.) Guiry (= Gigartina stellata (Stackh.) Batt.), Fucus serratus L. and especially Ascophyllum nodosum. Consistent preferences were displayed for adult over juvenile Ulva lactuca and for juvenile rather than adult Fucus serratus. Experimental examination Littorina littorea microdistribution on the mid-and lower shore reveals that, at sheltered sites, individuals forage predominantly on the rock surface and amongst the understorey of ephemeral algae. Higher up the shore and at exposed sites cast-up “drift” seaweeds assume an important dietary rôle. In controlled population experiments on the shore, Ascophyllum nodosum was not grazed. Consequently, this species cannot be considered a potential food source for Littorina littorea, even on those regions of the shore where it may constitute the only macroalgal cover.","container-title":"Journal of Experimental Marine Biology and Ecology","DOI":"10.1016/0022-0981(85)90230-8","ISSN":"0022-0981","issue":"3","journalAbbreviation":"Journal of Experimental Marine Biology and Ecology","language":"en","page":"193-211","source":"ScienceDirect","title":"Dietary preferences of the common periwinkle, Littorinalittorea (L.)","volume":"88","author":[{"family":"Watson","given":"David C."},{"family":"Norton","given":"Trevor A."}],"issued":{"date-parts":[["1985",6,24]]}}}],"schema":"https://github.com/citation-style-language/schema/raw/master/csl-citation.json"} </w:instrText>
      </w:r>
      <w:r>
        <w:fldChar w:fldCharType="separate"/>
      </w:r>
      <w:r w:rsidRPr="0060462D">
        <w:t>(Watson and Norton 1985)</w:t>
      </w:r>
      <w:r>
        <w:fldChar w:fldCharType="end"/>
      </w:r>
    </w:p>
    <w:p w14:paraId="4CBDC2CC" w14:textId="2784137E" w:rsidR="00C06613" w:rsidRPr="005C6FCA" w:rsidRDefault="00C06613" w:rsidP="005C6FCA">
      <w:pPr>
        <w:pStyle w:val="Heading2"/>
      </w:pPr>
      <w:r w:rsidRPr="005C6FCA">
        <w:lastRenderedPageBreak/>
        <w:t>Research Question and Hypothesis</w:t>
      </w:r>
    </w:p>
    <w:p w14:paraId="29FE2063" w14:textId="46CB1CF1" w:rsidR="00C06613" w:rsidRPr="00D82A90" w:rsidRDefault="00C06613" w:rsidP="0039438D">
      <w:pPr>
        <w:pStyle w:val="BulkofText"/>
      </w:pPr>
      <w:r w:rsidRPr="00D82A90">
        <w:t>The primary research question posed by this analysis i</w:t>
      </w:r>
      <w:r w:rsidR="00425093" w:rsidRPr="00D82A90">
        <w:t>s</w:t>
      </w:r>
      <w:r w:rsidRPr="00D82A90">
        <w:t xml:space="preserve">: can we accurately predict how the community assemblage of the rocky intertidal in Acadia National Park will change in the near future, and what variables (including </w:t>
      </w:r>
      <w:r w:rsidR="00DB1E27">
        <w:t>substrate composition</w:t>
      </w:r>
      <w:r w:rsidRPr="00D82A90">
        <w:t xml:space="preserve">, </w:t>
      </w:r>
      <w:r w:rsidR="00DB1E27">
        <w:t>invertebrate</w:t>
      </w:r>
      <w:r w:rsidRPr="00D82A90">
        <w:t xml:space="preserve"> abundance, and temperature) are the strongest predictors of that. While long-term monitoring has been ongoing through the Northeast Temperate Network (NETN) in the Inventory and Monitoring Division of the National Park Service (NPS) since 2013, no significant analysis has been done on this subject</w:t>
      </w:r>
      <w:r w:rsidR="00425093" w:rsidRPr="00D82A90">
        <w:t xml:space="preserve"> since that protocol began.</w:t>
      </w:r>
    </w:p>
    <w:p w14:paraId="000D0C6B" w14:textId="20BC0C3C" w:rsidR="00796C0F" w:rsidRPr="00D82A90" w:rsidRDefault="00425093" w:rsidP="0039438D">
      <w:pPr>
        <w:pStyle w:val="BulkofText"/>
      </w:pPr>
      <w:r w:rsidRPr="00D82A90">
        <w:t xml:space="preserve">I hypothesize that temperature and </w:t>
      </w:r>
      <w:r w:rsidR="00DB1E27" w:rsidRPr="00D82A90">
        <w:t xml:space="preserve">presence and abundance of motile invertebrates </w:t>
      </w:r>
      <w:r w:rsidRPr="00D82A90">
        <w:t>will significantly predict the</w:t>
      </w:r>
      <w:r w:rsidR="00DB1E27">
        <w:t xml:space="preserve"> substrate percent cover of </w:t>
      </w:r>
      <w:r w:rsidR="00DB1E27" w:rsidRPr="00D82A90">
        <w:rPr>
          <w:i/>
          <w:iCs/>
        </w:rPr>
        <w:t xml:space="preserve">Fucus </w:t>
      </w:r>
      <w:r w:rsidR="00393964">
        <w:rPr>
          <w:i/>
          <w:iCs/>
        </w:rPr>
        <w:t>vesiculosus</w:t>
      </w:r>
      <w:r w:rsidR="00FA2B73">
        <w:rPr>
          <w:i/>
          <w:iCs/>
        </w:rPr>
        <w:t xml:space="preserve"> </w:t>
      </w:r>
      <w:r w:rsidR="00FA2B73">
        <w:rPr>
          <w:i/>
          <w:iCs/>
        </w:rPr>
        <w:fldChar w:fldCharType="begin"/>
      </w:r>
      <w:r w:rsidR="003E5781">
        <w:rPr>
          <w:i/>
          <w:iCs/>
        </w:rPr>
        <w:instrText xml:space="preserve"> ADDIN ZOTERO_ITEM CSL_CITATION {"citationID":"F8i6NilQ","properties":{"formattedCitation":"(Linnaeus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sidR="00FA2B73">
        <w:rPr>
          <w:i/>
          <w:iCs/>
        </w:rPr>
        <w:fldChar w:fldCharType="separate"/>
      </w:r>
      <w:r w:rsidR="00FA2B73" w:rsidRPr="00FA2B73">
        <w:t>(Linnaeus 1753)</w:t>
      </w:r>
      <w:r w:rsidR="00FA2B73">
        <w:rPr>
          <w:i/>
          <w:iCs/>
        </w:rPr>
        <w:fldChar w:fldCharType="end"/>
      </w:r>
      <w:r w:rsidR="00DB1E27">
        <w:t xml:space="preserve"> and</w:t>
      </w:r>
      <w:r w:rsidR="00DB1E27" w:rsidRPr="00D82A90">
        <w:t xml:space="preserve"> </w:t>
      </w:r>
      <w:r w:rsidR="00DB1E27" w:rsidRPr="00D82A90">
        <w:rPr>
          <w:i/>
          <w:iCs/>
        </w:rPr>
        <w:t xml:space="preserve">Ascophyllum </w:t>
      </w:r>
      <w:r w:rsidR="00393964">
        <w:rPr>
          <w:i/>
          <w:iCs/>
        </w:rPr>
        <w:t>nodosum</w:t>
      </w:r>
      <w:r w:rsidR="00FA2B73">
        <w:rPr>
          <w:i/>
          <w:iCs/>
        </w:rPr>
        <w:t xml:space="preserve"> </w:t>
      </w:r>
      <w:r w:rsidR="00FA2B73">
        <w:rPr>
          <w:i/>
          <w:iCs/>
        </w:rPr>
        <w:fldChar w:fldCharType="begin"/>
      </w:r>
      <w:r w:rsidR="003E5781">
        <w:rPr>
          <w:i/>
          <w:iCs/>
        </w:rPr>
        <w:instrText xml:space="preserve"> ADDIN ZOTERO_ITEM CSL_CITATION {"citationID":"ugq2qw9K","properties":{"formattedCitation":"(Linnaeus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sidR="00FA2B73">
        <w:rPr>
          <w:i/>
          <w:iCs/>
        </w:rPr>
        <w:fldChar w:fldCharType="separate"/>
      </w:r>
      <w:r w:rsidR="00FA2B73" w:rsidRPr="00FA2B73">
        <w:t>(Linnaeus 1753)</w:t>
      </w:r>
      <w:r w:rsidR="00FA2B73">
        <w:rPr>
          <w:i/>
          <w:iCs/>
        </w:rPr>
        <w:fldChar w:fldCharType="end"/>
      </w:r>
      <w:r w:rsidRPr="00D82A90">
        <w:t xml:space="preserve"> in the Acadia rocky intertidal over time. </w:t>
      </w:r>
    </w:p>
    <w:p w14:paraId="7D477071" w14:textId="7D4C48B3" w:rsidR="00425093" w:rsidRPr="00D82A90" w:rsidRDefault="00425093" w:rsidP="0039438D">
      <w:pPr>
        <w:pStyle w:val="BulkofText"/>
      </w:pPr>
      <w:r w:rsidRPr="00D82A90">
        <w:t xml:space="preserve">I predict that an increase in </w:t>
      </w:r>
      <w:r w:rsidR="00FA2B73" w:rsidRPr="00D82A90">
        <w:t xml:space="preserve">the abundance of motile invertebrates </w:t>
      </w:r>
      <w:r w:rsidR="00FA2B73" w:rsidRPr="00D82A90">
        <w:rPr>
          <w:i/>
          <w:iCs/>
        </w:rPr>
        <w:t>Littorina obtusata</w:t>
      </w:r>
      <w:r w:rsidR="00FA2B73">
        <w:t xml:space="preserve"> will significantly be associated with a significant reduction in the </w:t>
      </w:r>
      <w:r w:rsidRPr="00D82A90">
        <w:t>algal cover</w:t>
      </w:r>
      <w:r w:rsidR="00FA2B73">
        <w:t xml:space="preserve"> of </w:t>
      </w:r>
      <w:r w:rsidR="00FA2B73">
        <w:rPr>
          <w:i/>
          <w:iCs/>
        </w:rPr>
        <w:t xml:space="preserve">F. vesiculosus </w:t>
      </w:r>
      <w:r w:rsidR="00FA2B73">
        <w:t xml:space="preserve">and </w:t>
      </w:r>
      <w:r w:rsidR="00FA2B73">
        <w:rPr>
          <w:i/>
          <w:iCs/>
        </w:rPr>
        <w:t>A. nodosum</w:t>
      </w:r>
      <w:r w:rsidR="00FA2B73">
        <w:t xml:space="preserve">, as these periwinkles have been shown to feed on both of these species </w:t>
      </w:r>
      <w:r w:rsidR="00FA2B73">
        <w:fldChar w:fldCharType="begin"/>
      </w:r>
      <w:r w:rsidR="003E5781">
        <w:instrText xml:space="preserve"> ADDIN ZOTERO_ITEM CSL_CITATION {"citationID":"LBQbAT6q","properties":{"formattedCitation":"(Hadlock 1979, Watson and Norton 1987)","plainCitation":"(Hadlock 1979, Watson and Norton 1987)","noteIndex":0},"citationItems":[{"id":221,"uris":["http://zotero.org/users/13044088/items/PLELCQID"],"itemData":{"id":221,"type":"thesis","event-place":"Kingston, RI","genre":"Master's thesis","publisher":"Department of Zoology, University of Rhode Island","publisher-place":"Kingston, RI","title":"The distribution of Littorina obtusata (L.) in the rocky intertidal: effects of competition with Littorina littorea (L.)","author":[{"family":"Hadlock","given":"R. H."}],"issued":{"date-parts":[["1979"]]}}},{"id":220,"uris":["http://zotero.org/users/13044088/items/TCGYILPE"],"itemData":{"id":220,"type":"article-journal","abstract":"The vertical zonation of the flat periwinkles Littorina obtusata (L.) and L. mariae Sacchi et Rastelli is different, but overlaps. At a sheltered location on the Isle of Cumbrae, Scotland, L. obtusata, although most abundant on Fucus vesiculosus L. and Ascophyllum nodosum (L.) Le Jol. on the midshore, ranged over the entire shore from the Pelvetia zone down to the upper limits of Laminaria. Littorina mariae exhibited a much more restricted distribution being associated predominantly with Fucus serratus L. on the lower shore. In laboratory trials with adult plants, flat periwinkles found fucoid algae both more attractive and more palatable than other seaweeds. Littorina obtusata also preferred the reproductive receptacles of fucoid algae to their vegetative tissue. Tiny germlings of a diversity of seaweeds were readily consumed by L. obtusata. In choice experiments germling Ulva lactuca L. was preferred to adult U. lactuca, whereas adult Fucus serratus was preferred to germling F. serratus. Contrasting foraging behaviours between different species of flat periwinkle are discussed in relation to differences in their radular dentition.","container-title":"Journal of Experimental Marine Biology and Ecology","DOI":"10.1016/S0022-0981(87)80015-1","ISSN":"0022-0981","issue":"1","journalAbbreviation":"Journal of Experimental Marine Biology and Ecology","page":"61-72","title":"The habitat and feeding preferences of Littorina obtusata (L.) and L. mariae sacchi et rastelli","volume":"112","author":[{"family":"Watson","given":"David C."},{"family":"Norton","given":"Trevor A."}],"issued":{"date-parts":[["1987",9,24]]}}}],"schema":"https://github.com/citation-style-language/schema/raw/master/csl-citation.json"} </w:instrText>
      </w:r>
      <w:r w:rsidR="00FA2B73">
        <w:fldChar w:fldCharType="separate"/>
      </w:r>
      <w:r w:rsidR="0060462D" w:rsidRPr="0060462D">
        <w:t>(Hadlock 1979, Watson and Norton 1987)</w:t>
      </w:r>
      <w:r w:rsidR="00FA2B73">
        <w:fldChar w:fldCharType="end"/>
      </w:r>
      <w:r w:rsidRPr="00D82A90">
        <w:t xml:space="preserve">. </w:t>
      </w:r>
      <w:r w:rsidR="0060462D">
        <w:t xml:space="preserve">I predict that </w:t>
      </w:r>
      <w:r w:rsidR="0060462D">
        <w:rPr>
          <w:i/>
          <w:iCs/>
        </w:rPr>
        <w:t xml:space="preserve">Littorina littorea </w:t>
      </w:r>
      <w:r w:rsidR="0060462D">
        <w:t xml:space="preserve">abundance will not significantly predict the </w:t>
      </w:r>
      <w:r w:rsidR="0060462D" w:rsidRPr="00D82A90">
        <w:t>algal cover</w:t>
      </w:r>
      <w:r w:rsidR="0060462D">
        <w:t xml:space="preserve"> of </w:t>
      </w:r>
      <w:r w:rsidR="0060462D">
        <w:rPr>
          <w:i/>
          <w:iCs/>
        </w:rPr>
        <w:t xml:space="preserve">F. vesiculosus </w:t>
      </w:r>
      <w:r w:rsidR="0060462D">
        <w:t xml:space="preserve">and </w:t>
      </w:r>
      <w:r w:rsidR="0060462D">
        <w:rPr>
          <w:i/>
          <w:iCs/>
        </w:rPr>
        <w:t>A. nodosum</w:t>
      </w:r>
      <w:r w:rsidR="0060462D">
        <w:t xml:space="preserve">, as this species has been shown to avoid feeding on these species </w:t>
      </w:r>
      <w:r w:rsidR="0060462D">
        <w:fldChar w:fldCharType="begin"/>
      </w:r>
      <w:r w:rsidR="003E5781">
        <w:instrText xml:space="preserve"> ADDIN ZOTERO_ITEM CSL_CITATION {"citationID":"cvGHxhmT","properties":{"formattedCitation":"(Watson and Norton 1985)","plainCitation":"(Watson and Norton 1985)","noteIndex":0},"citationItems":[{"id":73,"uris":["http://zotero.org/users/13044088/items/89Y3UHRT"],"itemData":{"id":73,"type":"article-journal","abstract":"In gustatory choice experiments with mature macroalgae, grazing by the common periwinkle, Littorina littorea (L.), was highly selective in favour of the foliose ephemeral green algae, Ulva lactuca L. and Enteromorpha intestinalis (L.) Link. The fucoid, Ascophyllum nodosum (L.) Le Jol., and the calcareous red alga, Corallina officinalis L., were rejected even under conditions of considerable nutritional duress. Results of attractiveness trials were similar, emphasizing the important selective rôle of gustatory considerations. Macroalgal edibility was not influenced by a prolonged period of starvation or by enforced habituation to a non-preferred species. There was, however, some evidence to suggest that previous feeding experience altered algal attractiveness significantly, prompting less discriminate feeding. A high degree of selectivity was also apparent for algal germlings. Lawns of germling Ulva lactuca and Enteromorpha intestinalis were strongly preferred to juvenile Mastocarpus stellatus (Stackh.) Guiry (= Gigartina stellata (Stackh.) Batt.), Fucus serratus L. and especially Ascophyllum nodosum. Consistent preferences were displayed for adult over juvenile Ulva lactuca and for juvenile rather than adult Fucus serratus. Experimental examination Littorina littorea microdistribution on the mid-and lower shore reveals that, at sheltered sites, individuals forage predominantly on the rock surface and amongst the understorey of ephemeral algae. Higher up the shore and at exposed sites cast-up “drift” seaweeds assume an important dietary rôle. In controlled population experiments on the shore, Ascophyllum nodosum was not grazed. Consequently, this species cannot be considered a potential food source for Littorina littorea, even on those regions of the shore where it may constitute the only macroalgal cover.","container-title":"Journal of Experimental Marine Biology and Ecology","DOI":"10.1016/0022-0981(85)90230-8","ISSN":"0022-0981","issue":"3","journalAbbreviation":"Journal of Experimental Marine Biology and Ecology","language":"en","page":"193-211","source":"ScienceDirect","title":"Dietary preferences of the common periwinkle, Littorinalittorea (L.)","volume":"88","author":[{"family":"Watson","given":"David C."},{"family":"Norton","given":"Trevor A."}],"issued":{"date-parts":[["1985",6,24]]}}}],"schema":"https://github.com/citation-style-language/schema/raw/master/csl-citation.json"} </w:instrText>
      </w:r>
      <w:r w:rsidR="0060462D">
        <w:fldChar w:fldCharType="separate"/>
      </w:r>
      <w:r w:rsidR="0060462D" w:rsidRPr="0060462D">
        <w:t>(Watson and Norton 1985)</w:t>
      </w:r>
      <w:r w:rsidR="0060462D">
        <w:fldChar w:fldCharType="end"/>
      </w:r>
      <w:r w:rsidR="0060462D">
        <w:t xml:space="preserve">. </w:t>
      </w:r>
      <w:r w:rsidRPr="00D82A90">
        <w:t xml:space="preserve">I predict that increased </w:t>
      </w:r>
      <w:r w:rsidR="0060462D" w:rsidRPr="00D82A90">
        <w:t>temperatures</w:t>
      </w:r>
      <w:r w:rsidRPr="00D82A90">
        <w:t xml:space="preserve"> will be correlated with a decrease in </w:t>
      </w:r>
      <w:r w:rsidR="00FA2B73">
        <w:rPr>
          <w:i/>
          <w:iCs/>
        </w:rPr>
        <w:t xml:space="preserve">F. vesiculosus and A. </w:t>
      </w:r>
      <w:r w:rsidR="00393964">
        <w:rPr>
          <w:i/>
          <w:iCs/>
        </w:rPr>
        <w:t>nodosum</w:t>
      </w:r>
      <w:r w:rsidR="00FA2B73">
        <w:rPr>
          <w:i/>
          <w:iCs/>
        </w:rPr>
        <w:t xml:space="preserve"> </w:t>
      </w:r>
      <w:r w:rsidR="00FA2B73">
        <w:t>in the higher plots, and an increase in both target species in the lower plots (i.e., the red algae plots)</w:t>
      </w:r>
      <w:r w:rsidR="0060462D">
        <w:t xml:space="preserve">; these species have been shown to expand their range as waters warm </w:t>
      </w:r>
      <w:r w:rsidR="00393964">
        <w:fldChar w:fldCharType="begin"/>
      </w:r>
      <w:r w:rsidR="00393964">
        <w:instrText xml:space="preserve"> ADDIN ZOTERO_ITEM CSL_CITATION {"citationID":"teiYAENV","properties":{"formattedCitation":"(Jueterbock et al. 2013, Marb\\uc0\\u224{} et al. 2017)","plainCitation":"(Jueterbock et al. 2013, Marbà et al. 2017)","noteIndex":0},"citationItems":[{"id":222,"uris":["http://zotero.org/users/13044088/items/FL7ZP8MT"],"itemData":{"id":222,"type":"article-journal","abstract":"The North-Atlantic has warmed faster than all other ocean basins and climate change scenarios predict sea surface temperature isotherms to shift up to 600 km  northwards by the end of the 21st century. The pole-ward shift has already begun  for many temperate seaweed species that are important intertidal foundation  species. We asked the question: Where will climate change have the greatest  impact on three foundational, macroalgal species that occur along North-Atlantic  shores: Fucus serratus, Fucus vesiculosus, and Ascophyllum nodosum? To predict  distributional changes of these key species under three IPCC (Intergovernmental  Panel on Climate Change) climate change scenarios (A2, A1B, and B1) over the  coming two centuries, we generated Ecological Niche Models with the program  MAXENT. Model predictions suggest that these three species will shift northwards  as an assemblage or \"unit\" and that phytogeographic changes will be most  pronounced in the southern Arctic and the southern temperate provinces. Our  models predict that Arctic shores in Canada, Greenland, and Spitsbergen will  become suitable for all three species by 2100. Shores south of 45° North will  become unsuitable for at least two of the three focal species on both the  Northwest- and Northeast-Atlantic coasts by 2200. If these foundational species  are unable to adapt to the rising temperatures, they will lose their centers of  genetic diversity and their loss will trigger an unpredictable shift in the  North-Atlantic intertidal ecosystem.","container-title":"Ecology and evolution","DOI":"10.1002/ece3.541","ISSN":"2045-7758","issue":"5","journalAbbreviation":"Ecol Evol","language":"eng","note":"publisher-place: England\nPMID: 23762521 \nPMCID: PMC3678489","page":"1356-1373","title":"Climate change impact on seaweed meadow distribution in the North Atlantic rocky intertidal.","volume":"3","author":[{"family":"Jueterbock","given":"Alexander"},{"family":"Tyberghein","given":"Lennert"},{"family":"Verbruggen","given":"Heroen"},{"family":"Coyer","given":"James A."},{"family":"Olsen","given":"Jeanine L."},{"family":"Hoarau","given":"Galice"}],"issued":{"date-parts":[["2013",5]]}}},{"id":223,"uris":["http://zotero.org/users/13044088/items/LYMHUVBV"],"itemData":{"id":223,"type":"article-journal","container-title":"Ambio","DOI":"10.1007/s13280-016-0873-7","ISSN":"0044-7447, 1654-7209","issue":"S1","language":"en","license":"http://creativecommons.org/licenses/by/4.0","note":"publisher: Springer Science and Business Media LLC","page":"119-131","source":"Crossref","title":"Climate change stimulates the growth of the intertidal macroalgae Ascophyllum nodosum near the northern distribution limit","volume":"46","author":[{"family":"Marbà","given":"Núria"},{"family":"Krause-Jensen","given":"Dorte"},{"family":"Olesen","given":"Birgit"},{"family":"Christensen","given":"Peter B."},{"family":"Merzouk","given":"Anissa"},{"family":"Rodrigues","given":"Joao"},{"family":"Wegeberg","given":"Susse"},{"family":"Wilce","given":"Robert T."}],"issued":{"date-parts":[["2017",2]]}}}],"schema":"https://github.com/citation-style-language/schema/raw/master/csl-citation.json"} </w:instrText>
      </w:r>
      <w:r w:rsidR="00393964">
        <w:fldChar w:fldCharType="separate"/>
      </w:r>
      <w:r w:rsidR="00393964" w:rsidRPr="00393964">
        <w:t xml:space="preserve">(Jueterbock et al. 2013, Marbà </w:t>
      </w:r>
      <w:r w:rsidR="00393964" w:rsidRPr="00393964">
        <w:lastRenderedPageBreak/>
        <w:t>et al. 2017)</w:t>
      </w:r>
      <w:r w:rsidR="00393964">
        <w:fldChar w:fldCharType="end"/>
      </w:r>
      <w:r w:rsidR="0060462D">
        <w:t xml:space="preserve">, which may extend to their local </w:t>
      </w:r>
      <w:r w:rsidR="00393964">
        <w:t xml:space="preserve">zonation </w:t>
      </w:r>
      <w:r w:rsidR="0060462D">
        <w:t>range</w:t>
      </w:r>
      <w:r w:rsidR="00393964">
        <w:t xml:space="preserve"> as well</w:t>
      </w:r>
      <w:r w:rsidR="0060462D">
        <w:t>, expanding into deeper</w:t>
      </w:r>
      <w:r w:rsidR="00393964">
        <w:t xml:space="preserve"> water</w:t>
      </w:r>
      <w:r w:rsidR="0060462D">
        <w:t>.</w:t>
      </w:r>
    </w:p>
    <w:p w14:paraId="7CEA3F9C" w14:textId="197BBC08" w:rsidR="005006E3" w:rsidRPr="00CE295A" w:rsidRDefault="00A003ED" w:rsidP="000F08FF">
      <w:pPr>
        <w:pStyle w:val="Heading1"/>
        <w:spacing w:before="0"/>
      </w:pPr>
      <w:r>
        <w:t>Methods</w:t>
      </w:r>
    </w:p>
    <w:p w14:paraId="099E455A" w14:textId="29AAEF65" w:rsidR="00E24C6B" w:rsidRPr="005C6FCA" w:rsidRDefault="00425093" w:rsidP="005C6FCA">
      <w:pPr>
        <w:pStyle w:val="Heading2"/>
      </w:pPr>
      <w:r w:rsidRPr="005C6FCA">
        <w:t>Data Source</w:t>
      </w:r>
    </w:p>
    <w:p w14:paraId="5EF0308D" w14:textId="78730370" w:rsidR="007720E3" w:rsidRDefault="00425093" w:rsidP="0039438D">
      <w:pPr>
        <w:pStyle w:val="BulkofText"/>
      </w:pPr>
      <w:r w:rsidRPr="00D82A90">
        <w:t xml:space="preserve">NETN </w:t>
      </w:r>
      <w:hyperlink r:id="rId8" w:history="1">
        <w:r w:rsidRPr="00D82A90">
          <w:rPr>
            <w:rStyle w:val="Hyperlink"/>
          </w:rPr>
          <w:t>has a</w:t>
        </w:r>
        <w:r w:rsidR="008C2B65" w:rsidRPr="00D82A90">
          <w:rPr>
            <w:rStyle w:val="Hyperlink"/>
          </w:rPr>
          <w:t xml:space="preserve"> dataset</w:t>
        </w:r>
      </w:hyperlink>
      <w:r w:rsidR="008C2B65" w:rsidRPr="00D82A90">
        <w:t xml:space="preserve"> spanning 8-years (2013 – 2021) of </w:t>
      </w:r>
      <w:r w:rsidR="00C15CC7">
        <w:t>long-term ecological monitoring data across six</w:t>
      </w:r>
      <w:r w:rsidR="008C2B65" w:rsidRPr="00D82A90">
        <w:t xml:space="preserve"> sites in Acadia</w:t>
      </w:r>
      <w:r w:rsidR="00C15CC7">
        <w:t>, as well as three sites in the Boston Harbor Islands National Park</w:t>
      </w:r>
      <w:r w:rsidR="008C2B65" w:rsidRPr="00D82A90">
        <w:t xml:space="preserve"> </w:t>
      </w:r>
      <w:r w:rsidR="008C2B65" w:rsidRPr="00D82A90">
        <w:fldChar w:fldCharType="begin"/>
      </w:r>
      <w:r w:rsidR="008C2B65" w:rsidRPr="00D82A90">
        <w:instrText xml:space="preserve"> ADDIN ZOTERO_ITEM CSL_CITATION {"citationID":"IsXNP9Ax","properties":{"formattedCitation":"(Northeast Temperate Network 2021)","plainCitation":"(Northeast Temperate Network 2021)","noteIndex":0},"citationItems":[{"id":58,"uris":["http://zotero.org/users/13044088/items/64HX7UH9"],"itemData":{"id":58,"type":"webpage","title":"Long-term Rocky Intertidal - Database","URL":"https://irma.nps.gov/DataStore/Reference/Profile/2289832","author":[{"family":"Northeast Temperate Network","given":""}],"accessed":{"date-parts":[["2023",4,24]]},"issued":{"date-parts":[["2021",1,1]]}}}],"schema":"https://github.com/citation-style-language/schema/raw/master/csl-citation.json"} </w:instrText>
      </w:r>
      <w:r w:rsidR="008C2B65" w:rsidRPr="00D82A90">
        <w:fldChar w:fldCharType="separate"/>
      </w:r>
      <w:r w:rsidR="008C2B65" w:rsidRPr="00D82A90">
        <w:t>(Northeast Temperate Network 2021)</w:t>
      </w:r>
      <w:r w:rsidR="008C2B65" w:rsidRPr="00D82A90">
        <w:fldChar w:fldCharType="end"/>
      </w:r>
      <w:r w:rsidR="008C2B65" w:rsidRPr="00D82A90">
        <w:t>.</w:t>
      </w:r>
      <w:r w:rsidR="00C15CC7">
        <w:t xml:space="preserve"> </w:t>
      </w:r>
      <w:r w:rsidR="0039438D">
        <w:t xml:space="preserve">All nine sites are visited annually for data collection. </w:t>
      </w:r>
      <w:r w:rsidR="0048200C">
        <w:t xml:space="preserve">The dataset is broken down into different sub-protocols, including: motile invertebrate and substrate percent cover photoplots, line intercept vertical </w:t>
      </w:r>
      <w:bookmarkStart w:id="1" w:name="_Hlk204107139"/>
      <w:r w:rsidR="0048200C">
        <w:t>zonation transects, tide pool motile invertebrate band transects, barnacle recruitment photoplots</w:t>
      </w:r>
      <w:r w:rsidR="005C6FCA">
        <w:t>, and water temperature logging</w:t>
      </w:r>
      <w:bookmarkEnd w:id="1"/>
      <w:r w:rsidR="005C6FCA">
        <w:t>.</w:t>
      </w:r>
      <w:r w:rsidR="00A003ED">
        <w:t xml:space="preserve"> As of now, this analysis is focused exclusively on the </w:t>
      </w:r>
      <w:r w:rsidR="00A003ED">
        <w:t>motile invertebrate and substrate percent cover photoplots</w:t>
      </w:r>
      <w:r w:rsidR="00A003ED">
        <w:t>. I am working with the NETN Data Manager to procure the other portions of the dataset, which are currently not available for download.</w:t>
      </w:r>
    </w:p>
    <w:p w14:paraId="240A924E" w14:textId="0DA14C69" w:rsidR="00E24C6B" w:rsidRPr="005C6FCA" w:rsidRDefault="00C739E5" w:rsidP="005C6FCA">
      <w:pPr>
        <w:pStyle w:val="Heading2"/>
      </w:pPr>
      <w:r>
        <w:t>Data Preprocessing</w:t>
      </w:r>
    </w:p>
    <w:p w14:paraId="2A5B5681" w14:textId="434472CC" w:rsidR="001F718F" w:rsidRPr="00D82A90" w:rsidRDefault="00C739E5" w:rsidP="0039438D">
      <w:pPr>
        <w:pStyle w:val="BulkofText"/>
      </w:pPr>
      <w:r>
        <w:t xml:space="preserve">Prior to exploratory data analysis (EDA), the data needed to be transformed and consolidated into one singular data frame. The data was in long form, with duplicate rows for each plot at each site during each year. To resolve this, I pivoted each of the three data files (the photoplot percent cover data, the motile invertebrate count data, and the motile invertebrate measurement data) to wide form, using the species name as the indicator of where to pull values from for the new columns, and the percent cover, count, or mean measurement as the </w:t>
      </w:r>
      <w:r>
        <w:lastRenderedPageBreak/>
        <w:t>values for the new columns. The motile invertebrate dataset contained up to 10 measurements per species, meaning it had more duplicates than the other datasets, and therefore had to be averaged down to one mean measurement. The three datasets were then joined together using a left join, with the photoplot dataset as the “host,” as the target variables are contained within it. Each row in each dataset at this point had been reduced to a single plot from a single site at a single date, so they were joined using these three fields to keep each row as one observation.</w:t>
      </w:r>
    </w:p>
    <w:p w14:paraId="7EA983FE" w14:textId="39CA8301" w:rsidR="00090F42" w:rsidRPr="005C6FCA" w:rsidRDefault="0015736D" w:rsidP="005C6FCA">
      <w:pPr>
        <w:pStyle w:val="Heading2"/>
      </w:pPr>
      <w:r>
        <w:t>Exploratory Data Analysis Methodology</w:t>
      </w:r>
    </w:p>
    <w:p w14:paraId="2D6E4142" w14:textId="6A980B58" w:rsidR="00090F42" w:rsidRDefault="0015736D" w:rsidP="0039438D">
      <w:pPr>
        <w:pStyle w:val="BulkofText"/>
      </w:pPr>
      <w:r>
        <w:t>My first step for EDA was to construct a correlation matrix, in order to give me an overview picture of the trends in my data, and how different features may influence each other. This proved more challenging than I anticipated due to my large number of features (44) making it difficult to create a legible correlation plot. I tried creating a correlation heatmap, as the color gradient is easier to visually process than numbers or biplots when shrunk down, though this too was illegible with all 44 features. I settled on calculating correlation values between each pair, then filtering for only those with a value of &gt;0.7 (a strong correlation), before making a heatmap with those. This resulted in nearly zero correlated variables, so I lowered the threshold to 0.5 to get a better understanding of the data, which resulted in a legible and valuable correlation heatmap.</w:t>
      </w:r>
    </w:p>
    <w:p w14:paraId="59BCC1FB" w14:textId="13B63938" w:rsidR="0015736D" w:rsidRDefault="0015736D" w:rsidP="0039438D">
      <w:pPr>
        <w:pStyle w:val="BulkofText"/>
      </w:pPr>
      <w:r>
        <w:t xml:space="preserve">My next step was to take a preliminary glance at my research question, by examining the relationship between the different motile invertebrate species and my two target variables, </w:t>
      </w:r>
      <w:r>
        <w:rPr>
          <w:i/>
          <w:iCs/>
        </w:rPr>
        <w:t>F. vesiculosus</w:t>
      </w:r>
      <w:r>
        <w:t xml:space="preserve"> and </w:t>
      </w:r>
      <w:r>
        <w:rPr>
          <w:i/>
          <w:iCs/>
        </w:rPr>
        <w:t>A. nodosum</w:t>
      </w:r>
      <w:r>
        <w:t xml:space="preserve"> percent cover. I created five scatterplots for each, wrapped into two sets of panels, one for each target variable, for easy interpretability and comparison. These </w:t>
      </w:r>
      <w:r>
        <w:lastRenderedPageBreak/>
        <w:t>scatterplots included the target variable percent cover on the Y-axis, the specific motile invertebrate count on the X-axis, and a trendline, calculated via a simple linear model method.</w:t>
      </w:r>
    </w:p>
    <w:p w14:paraId="1FF0DD3A" w14:textId="5766E7CF" w:rsidR="0015736D" w:rsidRDefault="00FB102D" w:rsidP="0039438D">
      <w:pPr>
        <w:pStyle w:val="BulkofText"/>
      </w:pPr>
      <w:r>
        <w:t xml:space="preserve">I created a summary table for my continuous variables </w:t>
      </w:r>
      <w:r w:rsidRPr="00FB102D">
        <w:t>showing central tendency (mean, median), spread (SD, min, max), and shape (skewness, kurtosis)</w:t>
      </w:r>
      <w:r>
        <w:t>. This table was designed to act as a quick reference for the structure of each of my target and predictor variables. I considered creating a summary table for the categorical variables as well, but the only categorical variables contained in my dataset are labels for each observation, not actual observational data. These variables (i.e., site, plot target variable, and year) may be used in the final analysis but cannot be summarized, as they are, by design, present in equal amounts through the dataset; there are an equal number of plots at each site and each site is visited once per year.</w:t>
      </w:r>
    </w:p>
    <w:p w14:paraId="2FECA051" w14:textId="051BB66F" w:rsidR="00C33CC6" w:rsidRDefault="00C33CC6" w:rsidP="0039438D">
      <w:pPr>
        <w:pStyle w:val="BulkofText"/>
      </w:pPr>
      <w:r>
        <w:t>I also conducted a quick principal component analysis (PCA) to look at broad-strokes relationships in the data, to hopefully get a better sense at what variables were responsible for explaining most of the variance in the data. I had hoped to discern which species had strong effects on the structure of the data using this method. I did a preliminary Scree plot to examine the loadings of each principal component to get a sense of the structure of the data.</w:t>
      </w:r>
    </w:p>
    <w:p w14:paraId="71A7AE2F" w14:textId="6ADCD0E5" w:rsidR="00FB102D" w:rsidRPr="0015736D" w:rsidRDefault="00FB102D" w:rsidP="0039438D">
      <w:pPr>
        <w:pStyle w:val="BulkofText"/>
      </w:pPr>
      <w:r>
        <w:t>Lastly, to get another look and a better understanding of my target variables visually, I created a histogram for each, to visualize their frequency distribution and to start thinking about possible data transformations or other considerations for the model.</w:t>
      </w:r>
    </w:p>
    <w:p w14:paraId="6D8E1B27" w14:textId="601841C9" w:rsidR="005006E3" w:rsidRPr="00D82A90" w:rsidRDefault="00C33CC6" w:rsidP="0061081F">
      <w:pPr>
        <w:pStyle w:val="Heading1"/>
      </w:pPr>
      <w:r>
        <w:lastRenderedPageBreak/>
        <w:t>Results</w:t>
      </w:r>
    </w:p>
    <w:p w14:paraId="07B9E43B" w14:textId="54C2CA4F" w:rsidR="00152920" w:rsidRDefault="00152920" w:rsidP="005C6FCA">
      <w:pPr>
        <w:pStyle w:val="Heading2"/>
      </w:pPr>
      <w:r>
        <w:t>Correlation Heatmap</w:t>
      </w:r>
    </w:p>
    <w:p w14:paraId="3F7530F5" w14:textId="77777777" w:rsidR="00152920" w:rsidRDefault="00152920" w:rsidP="00152920">
      <w:pPr>
        <w:keepNext/>
      </w:pPr>
      <w:r>
        <w:rPr>
          <w:noProof/>
        </w:rPr>
        <w:drawing>
          <wp:inline distT="0" distB="0" distL="0" distR="0" wp14:anchorId="38F07352" wp14:editId="0F648C60">
            <wp:extent cx="5943600" cy="3667125"/>
            <wp:effectExtent l="0" t="0" r="0" b="9525"/>
            <wp:docPr id="2089781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31B04E42" w14:textId="0748B5A7" w:rsidR="00152920" w:rsidRDefault="00152920" w:rsidP="00152920">
      <w:pPr>
        <w:pStyle w:val="Caption"/>
      </w:pPr>
      <w:r>
        <w:t xml:space="preserve">Figure </w:t>
      </w:r>
      <w:fldSimple w:instr=" SEQ Figure \* ARABIC ">
        <w:r w:rsidR="00BF2797">
          <w:rPr>
            <w:noProof/>
          </w:rPr>
          <w:t>1</w:t>
        </w:r>
      </w:fldSimple>
      <w:r>
        <w:t xml:space="preserve"> - Correlation Heatmap between moderately correlated variables in the NETN rocky intertidal long term ecological monitoring protocol photoplots. Variables include motile invertebrate count data, motile invertebrate mean length measurement data, macroalgae percent cover data, and substrate percent cover data.</w:t>
      </w:r>
    </w:p>
    <w:p w14:paraId="14896696" w14:textId="57434F0D" w:rsidR="00152920" w:rsidRPr="00152920" w:rsidRDefault="00152920" w:rsidP="00152920">
      <w:pPr>
        <w:pStyle w:val="BulkofText"/>
      </w:pPr>
      <w:r>
        <w:t xml:space="preserve">The correlation heatmap showed that there is very little collinearity within this dataset. The strongest collinearity was seen between the motile invertebrate count data and their respective mean length measurement data. This conceptually makes sense as, in plots that are more hospitable to certain species (higher count abundance values) those same species would be more likely to thrive and grow larger. The other correlations were between </w:t>
      </w:r>
      <w:r>
        <w:rPr>
          <w:i/>
          <w:iCs/>
        </w:rPr>
        <w:t>A. nodosum</w:t>
      </w:r>
      <w:r>
        <w:t xml:space="preserve"> and its epibiont, which requires </w:t>
      </w:r>
      <w:r>
        <w:rPr>
          <w:i/>
          <w:iCs/>
        </w:rPr>
        <w:t>A. nodosum</w:t>
      </w:r>
      <w:r>
        <w:t xml:space="preserve"> as substrate to grow on, and barnacles and other substrate. Scanning the notes column in the raw data revealed that dead barnacles/leftover shells were frequently labelled as other substrate, which explains that correlation.</w:t>
      </w:r>
    </w:p>
    <w:p w14:paraId="69B6D1A1" w14:textId="3C39929A" w:rsidR="003C2DE7" w:rsidRPr="005C6FCA" w:rsidRDefault="00C33CC6" w:rsidP="005C6FCA">
      <w:pPr>
        <w:pStyle w:val="Heading2"/>
      </w:pPr>
      <w:r>
        <w:rPr>
          <w:i w:val="0"/>
          <w:iCs w:val="0"/>
        </w:rPr>
        <w:lastRenderedPageBreak/>
        <w:t xml:space="preserve">F. Vesiculosus </w:t>
      </w:r>
      <w:r>
        <w:t xml:space="preserve">and </w:t>
      </w:r>
      <w:r>
        <w:rPr>
          <w:i w:val="0"/>
          <w:iCs w:val="0"/>
        </w:rPr>
        <w:t>A. nodosum</w:t>
      </w:r>
      <w:r>
        <w:t xml:space="preserve"> relationship with Motile Invertebrates</w:t>
      </w:r>
    </w:p>
    <w:p w14:paraId="28A418EE" w14:textId="77777777" w:rsidR="00152920" w:rsidRDefault="00152920" w:rsidP="00152920">
      <w:pPr>
        <w:pStyle w:val="BulkofText"/>
        <w:keepNext/>
      </w:pPr>
      <w:r>
        <w:rPr>
          <w:noProof/>
        </w:rPr>
        <w:drawing>
          <wp:inline distT="0" distB="0" distL="0" distR="0" wp14:anchorId="7F178F52" wp14:editId="36CE5DA9">
            <wp:extent cx="5943600" cy="3667125"/>
            <wp:effectExtent l="0" t="0" r="0" b="9525"/>
            <wp:docPr id="1379698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B0745AE" w14:textId="04F23D9D" w:rsidR="00152920" w:rsidRDefault="00152920" w:rsidP="00152920">
      <w:pPr>
        <w:pStyle w:val="Caption"/>
      </w:pPr>
      <w:r>
        <w:t xml:space="preserve">Figure </w:t>
      </w:r>
      <w:fldSimple w:instr=" SEQ Figure \* ARABIC ">
        <w:r w:rsidR="00BF2797">
          <w:rPr>
            <w:noProof/>
          </w:rPr>
          <w:t>2</w:t>
        </w:r>
      </w:fldSimple>
      <w:r>
        <w:t xml:space="preserve"> - Relationship between Fucus Vesiculosus percent cover and motile invertebrate abundances in NETN rocky intertidal photoplots.</w:t>
      </w:r>
    </w:p>
    <w:p w14:paraId="65F469E5" w14:textId="0249DE3B" w:rsidR="003C2DE7" w:rsidRDefault="00152920" w:rsidP="0039438D">
      <w:pPr>
        <w:pStyle w:val="BulkofText"/>
      </w:pPr>
      <w:r>
        <w:t xml:space="preserve">Examining </w:t>
      </w:r>
      <w:r>
        <w:rPr>
          <w:i/>
          <w:iCs/>
        </w:rPr>
        <w:t>F. vesiculosus</w:t>
      </w:r>
      <w:r>
        <w:t xml:space="preserve"> percent cover as a function of motile invertebrate abundances suggests that common periwinkles, smooth periwinkles, and limpets have a positive correlation, while rough periwinkles have a negative correlation</w:t>
      </w:r>
      <w:r w:rsidR="004E53CF" w:rsidRPr="00D82A90">
        <w:t>.</w:t>
      </w:r>
      <w:r>
        <w:t xml:space="preserve"> This may suggest that either the commons, smooths, and limpets promote </w:t>
      </w:r>
      <w:r>
        <w:rPr>
          <w:i/>
          <w:iCs/>
        </w:rPr>
        <w:t>Fucus</w:t>
      </w:r>
      <w:r>
        <w:t xml:space="preserve"> in some way, or that they prefer that as habitat.</w:t>
      </w:r>
    </w:p>
    <w:p w14:paraId="10A10D81" w14:textId="77777777" w:rsidR="00152920" w:rsidRDefault="00152920" w:rsidP="00152920">
      <w:pPr>
        <w:pStyle w:val="BulkofText"/>
        <w:keepNext/>
      </w:pPr>
      <w:r>
        <w:rPr>
          <w:noProof/>
        </w:rPr>
        <w:lastRenderedPageBreak/>
        <w:drawing>
          <wp:inline distT="0" distB="0" distL="0" distR="0" wp14:anchorId="2F3198A5" wp14:editId="4795ACE8">
            <wp:extent cx="5943600" cy="3667125"/>
            <wp:effectExtent l="0" t="0" r="0" b="9525"/>
            <wp:docPr id="7598913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27207355" w14:textId="499B375F" w:rsidR="00152920" w:rsidRDefault="00152920" w:rsidP="00152920">
      <w:pPr>
        <w:pStyle w:val="Caption"/>
      </w:pPr>
      <w:r>
        <w:t xml:space="preserve">Figure </w:t>
      </w:r>
      <w:fldSimple w:instr=" SEQ Figure \* ARABIC ">
        <w:r w:rsidR="00BF2797">
          <w:rPr>
            <w:noProof/>
          </w:rPr>
          <w:t>3</w:t>
        </w:r>
      </w:fldSimple>
      <w:r>
        <w:t xml:space="preserve"> - </w:t>
      </w:r>
      <w:r w:rsidRPr="001A7F7A">
        <w:t xml:space="preserve">Relationship between </w:t>
      </w:r>
      <w:r>
        <w:t>Ascophyllum nodosum</w:t>
      </w:r>
      <w:r w:rsidRPr="001A7F7A">
        <w:t xml:space="preserve"> percent cover and motile invertebrate abundances in NETN rocky intertidal photoplots.</w:t>
      </w:r>
    </w:p>
    <w:p w14:paraId="3997D356" w14:textId="4C54FA60" w:rsidR="00152920" w:rsidRDefault="00152920" w:rsidP="00152920">
      <w:pPr>
        <w:pStyle w:val="BulkofText"/>
      </w:pPr>
      <w:r>
        <w:t xml:space="preserve">The plots examining </w:t>
      </w:r>
      <w:r>
        <w:rPr>
          <w:i/>
          <w:iCs/>
        </w:rPr>
        <w:t>A. nodosum</w:t>
      </w:r>
      <w:r>
        <w:t xml:space="preserve"> percent cover as a function of the various motile invertebrate abundances </w:t>
      </w:r>
      <w:proofErr w:type="gramStart"/>
      <w:r>
        <w:t>suggests</w:t>
      </w:r>
      <w:proofErr w:type="gramEnd"/>
      <w:r>
        <w:t xml:space="preserve"> that </w:t>
      </w:r>
      <w:proofErr w:type="gramStart"/>
      <w:r>
        <w:t>common</w:t>
      </w:r>
      <w:proofErr w:type="gramEnd"/>
      <w:r>
        <w:t xml:space="preserve"> periwinkle abundance has no </w:t>
      </w:r>
      <w:r w:rsidR="003E5781">
        <w:t xml:space="preserve">meaningful relationship with </w:t>
      </w:r>
      <w:r w:rsidR="003E5781">
        <w:rPr>
          <w:i/>
          <w:iCs/>
        </w:rPr>
        <w:t>Ascophyllum</w:t>
      </w:r>
      <w:r w:rsidR="003E5781">
        <w:t xml:space="preserve"> percent cover, while smooth periwinkle abundance is associated with improved percent cover, and both rough periwinkle and limpet abundances are associated with reduced percent cover. The common periwinkle trend is in line with the predictions I made in the proposal, which predicted that there was no relationship between the abundance of the two species as common periwinkles do not preferentially feed on </w:t>
      </w:r>
      <w:r w:rsidR="003E5781">
        <w:rPr>
          <w:i/>
          <w:iCs/>
        </w:rPr>
        <w:t>A. nodosum</w:t>
      </w:r>
      <w:r w:rsidR="003E5781">
        <w:t>.</w:t>
      </w:r>
    </w:p>
    <w:p w14:paraId="5C449695" w14:textId="4FB25DF3" w:rsidR="004F79E6" w:rsidRPr="00D82A90" w:rsidRDefault="003E5781" w:rsidP="003E5781">
      <w:pPr>
        <w:pStyle w:val="BulkofText"/>
      </w:pPr>
      <w:r>
        <w:t xml:space="preserve">Both sets of plots suggest that there are some relationships between macroalgal percent cover and motile invertebrate abundance, which is promising for the model. These plots also reveal quite starkly that </w:t>
      </w:r>
      <w:proofErr w:type="spellStart"/>
      <w:r>
        <w:rPr>
          <w:i/>
          <w:iCs/>
        </w:rPr>
        <w:t>Carcinus</w:t>
      </w:r>
      <w:proofErr w:type="spellEnd"/>
      <w:r>
        <w:rPr>
          <w:i/>
          <w:iCs/>
        </w:rPr>
        <w:t xml:space="preserve"> </w:t>
      </w:r>
      <w:proofErr w:type="spellStart"/>
      <w:r>
        <w:rPr>
          <w:i/>
          <w:iCs/>
        </w:rPr>
        <w:t>maenas</w:t>
      </w:r>
      <w:proofErr w:type="spellEnd"/>
      <w:r>
        <w:t xml:space="preserve"> only contains values of 0 for abundance, across all </w:t>
      </w:r>
      <w:r>
        <w:lastRenderedPageBreak/>
        <w:t xml:space="preserve">observations. This is an error in the dataset as I personally have collected and recorded </w:t>
      </w:r>
      <w:r>
        <w:rPr>
          <w:i/>
          <w:iCs/>
        </w:rPr>
        <w:t xml:space="preserve">C. </w:t>
      </w:r>
      <w:proofErr w:type="spellStart"/>
      <w:r>
        <w:rPr>
          <w:i/>
          <w:iCs/>
        </w:rPr>
        <w:t>maenas</w:t>
      </w:r>
      <w:proofErr w:type="spellEnd"/>
      <w:r>
        <w:t xml:space="preserve"> specimens in these plots while assisting NETN, so I will follow up with the Data Manager to see what has occurred here. </w:t>
      </w:r>
    </w:p>
    <w:p w14:paraId="29C54551" w14:textId="26041090" w:rsidR="003E5781" w:rsidRPr="005C6FCA" w:rsidRDefault="003E5781" w:rsidP="003E5781">
      <w:pPr>
        <w:pStyle w:val="Heading2"/>
      </w:pPr>
      <w:r>
        <w:rPr>
          <w:i w:val="0"/>
          <w:iCs w:val="0"/>
        </w:rPr>
        <w:t xml:space="preserve">F. Vesiculosus </w:t>
      </w:r>
      <w:r>
        <w:t xml:space="preserve">and </w:t>
      </w:r>
      <w:r>
        <w:rPr>
          <w:i w:val="0"/>
          <w:iCs w:val="0"/>
        </w:rPr>
        <w:t>A. nodosum</w:t>
      </w:r>
      <w:r>
        <w:t xml:space="preserve"> </w:t>
      </w:r>
      <w:r>
        <w:t>Frequency Distribution</w:t>
      </w:r>
    </w:p>
    <w:p w14:paraId="73D62E22" w14:textId="77777777" w:rsidR="003E5781" w:rsidRDefault="003E5781" w:rsidP="003E5781">
      <w:pPr>
        <w:pStyle w:val="BulkofText"/>
        <w:keepNext/>
      </w:pPr>
      <w:r>
        <w:rPr>
          <w:noProof/>
        </w:rPr>
        <w:drawing>
          <wp:inline distT="0" distB="0" distL="0" distR="0" wp14:anchorId="3DE90329" wp14:editId="19E85805">
            <wp:extent cx="5943600" cy="3667125"/>
            <wp:effectExtent l="0" t="0" r="0" b="9525"/>
            <wp:docPr id="623096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5A56C1F2" w14:textId="431DD562" w:rsidR="003E5781" w:rsidRDefault="003E5781" w:rsidP="003E5781">
      <w:pPr>
        <w:pStyle w:val="Caption"/>
      </w:pPr>
      <w:r>
        <w:t xml:space="preserve">Figure </w:t>
      </w:r>
      <w:fldSimple w:instr=" SEQ Figure \* ARABIC ">
        <w:r w:rsidR="00BF2797">
          <w:rPr>
            <w:noProof/>
          </w:rPr>
          <w:t>4</w:t>
        </w:r>
      </w:fldSimple>
      <w:r>
        <w:t xml:space="preserve"> - Frequency distribution histograms for </w:t>
      </w:r>
      <w:r>
        <w:rPr>
          <w:i w:val="0"/>
          <w:iCs w:val="0"/>
        </w:rPr>
        <w:t xml:space="preserve">Fucus </w:t>
      </w:r>
      <w:r>
        <w:t xml:space="preserve">and </w:t>
      </w:r>
      <w:r>
        <w:rPr>
          <w:i w:val="0"/>
          <w:iCs w:val="0"/>
        </w:rPr>
        <w:t>Ascophyllum</w:t>
      </w:r>
      <w:r>
        <w:t xml:space="preserve"> percent cover values in NETN rocky intertidal photoplots.</w:t>
      </w:r>
    </w:p>
    <w:p w14:paraId="6BE4C21E" w14:textId="77777777" w:rsidR="003E5781" w:rsidRDefault="003E5781" w:rsidP="003E5781">
      <w:pPr>
        <w:pStyle w:val="BulkofText"/>
      </w:pPr>
      <w:r>
        <w:t xml:space="preserve">Both </w:t>
      </w:r>
      <w:r>
        <w:rPr>
          <w:i/>
          <w:iCs/>
        </w:rPr>
        <w:t xml:space="preserve">Fucus </w:t>
      </w:r>
      <w:r>
        <w:t xml:space="preserve">and </w:t>
      </w:r>
      <w:r>
        <w:rPr>
          <w:i/>
          <w:iCs/>
        </w:rPr>
        <w:t>Ascophyllum</w:t>
      </w:r>
      <w:r>
        <w:t xml:space="preserve"> have distributions weighted very heavily towards 0. This suggests strong spatial constraints on these species, as they are completely absent from most plots. Their next most common value is 100% cover, which suggests that, when they are present, they are able to do quite well in their niche. This zero-inflated distribution poses difficulties for modeling, as this will violate many common assumptions such as normality.</w:t>
      </w:r>
    </w:p>
    <w:p w14:paraId="1F935961" w14:textId="59FB1F6E" w:rsidR="003E5781" w:rsidRDefault="003E5781" w:rsidP="003E5781">
      <w:pPr>
        <w:pStyle w:val="Heading2"/>
      </w:pPr>
      <w:r>
        <w:rPr>
          <w:noProof/>
        </w:rPr>
        <w:lastRenderedPageBreak/>
        <mc:AlternateContent>
          <mc:Choice Requires="wps">
            <w:drawing>
              <wp:anchor distT="0" distB="0" distL="114300" distR="114300" simplePos="0" relativeHeight="251660288" behindDoc="0" locked="0" layoutInCell="1" allowOverlap="1" wp14:anchorId="6A5193F6" wp14:editId="4CB21E07">
                <wp:simplePos x="0" y="0"/>
                <wp:positionH relativeFrom="margin">
                  <wp:align>center</wp:align>
                </wp:positionH>
                <wp:positionV relativeFrom="paragraph">
                  <wp:posOffset>1270</wp:posOffset>
                </wp:positionV>
                <wp:extent cx="7305675" cy="457200"/>
                <wp:effectExtent l="0" t="0" r="9525" b="0"/>
                <wp:wrapNone/>
                <wp:docPr id="486522053" name="Text Box 1"/>
                <wp:cNvGraphicFramePr/>
                <a:graphic xmlns:a="http://schemas.openxmlformats.org/drawingml/2006/main">
                  <a:graphicData uri="http://schemas.microsoft.com/office/word/2010/wordprocessingShape">
                    <wps:wsp>
                      <wps:cNvSpPr txBox="1"/>
                      <wps:spPr>
                        <a:xfrm>
                          <a:off x="0" y="0"/>
                          <a:ext cx="7305675" cy="457200"/>
                        </a:xfrm>
                        <a:prstGeom prst="rect">
                          <a:avLst/>
                        </a:prstGeom>
                        <a:solidFill>
                          <a:prstClr val="white"/>
                        </a:solidFill>
                        <a:ln>
                          <a:noFill/>
                        </a:ln>
                      </wps:spPr>
                      <wps:txbx>
                        <w:txbxContent>
                          <w:p w14:paraId="3B0963A2" w14:textId="62A96E1A" w:rsidR="003E5781" w:rsidRPr="003E5781" w:rsidRDefault="003E5781" w:rsidP="003E5781">
                            <w:pPr>
                              <w:pStyle w:val="Caption"/>
                              <w:rPr>
                                <w:noProof/>
                                <w:sz w:val="28"/>
                                <w:szCs w:val="28"/>
                              </w:rPr>
                            </w:pPr>
                            <w:r w:rsidRPr="003E5781">
                              <w:t xml:space="preserve">Table </w:t>
                            </w:r>
                            <w:fldSimple w:instr=" SEQ Table \* ARABIC ">
                              <w:r w:rsidRPr="003E5781">
                                <w:rPr>
                                  <w:noProof/>
                                </w:rPr>
                                <w:t>1</w:t>
                              </w:r>
                            </w:fldSimple>
                            <w:r w:rsidRPr="003E5781">
                              <w:t xml:space="preserve"> - Summary statistics for numeric variables including percent cover data, invertebrate abundance data, and invertebrate mean measurement data.</w:t>
                            </w:r>
                            <w:r>
                              <w:t xml:space="preserve"> Summary statistics include mean, median, standard deviation, </w:t>
                            </w:r>
                            <w:r w:rsidR="00BF2797">
                              <w:t>minimum, maximum, skew, and kurtosis.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6A5193F6" id="_x0000_t202" coordsize="21600,21600" o:spt="202" path="m,l,21600r21600,l21600,xe">
                <v:stroke joinstyle="miter"/>
                <v:path gradientshapeok="t" o:connecttype="rect"/>
              </v:shapetype>
              <v:shape id="Text Box 1" o:spid="_x0000_s1026" type="#_x0000_t202" style="position:absolute;left:0;text-align:left;margin-left:0;margin-top:.1pt;width:575.25pt;height:3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XVGAIAADsEAAAOAAAAZHJzL2Uyb0RvYy54bWysU01v2zAMvQ/YfxB0X5x0S1MEcYosRYYB&#10;QVsgHXpWZCkWIIsapcTOfv0ofyRbt9Owi0yTFCm+97i4byrLTgqDAZfzyWjMmXISCuMOOf/2svlw&#10;x1mIwhXCglM5P6vA75fv3y1qP1c3UIItFDIq4sK89jkvY/TzLAuyVJUII/DKUVADViLSLx6yAkVN&#10;1Sub3YzHt1kNWHgEqUIg70MX5Mu2vtZKxietg4rM5pzeFtsT23Ofzmy5EPMDCl8a2T9D/MMrKmEc&#10;Nb2UehBRsCOaP0pVRiIE0HEkocpAayNVOwNNMxm/mWZXCq/aWQic4C8whf9XVj6edv4ZWWw+Q0ME&#10;JkBqH+aBnGmeRmOVvvRSRnGC8HyBTTWRSXLOPo6nt7MpZ5Jin6Yz4iWVya63PYb4RUHFkpFzJFpa&#10;tMRpG2KXOqSkZgGsKTbG2vSTAmuL7CSIwro0UfXFf8uyLuU6SLe6gsmTXUdJVmz2TT/fHoozjY3Q&#10;KSJ4uTHUaCtCfBZIEqBJSdbxiQ5toc459BZnJeCPv/lTPjFDUc5qklTOw/ejQMWZ/eqIs6S/wcDB&#10;2A+GO1ZroBEntDBetiZdwGgHUyNUr6T2VepCIeEk9cp5HMx17IRN2yLVatUmkcq8iFu38zKVHgB9&#10;aV4F+p6OSEQ+wiA2MX/DSpfbwbs6RtCmpSwB2qHY40wKbUnvtymtwK//bdZ155c/AQAA//8DAFBL&#10;AwQUAAYACAAAACEAcKu1WtsAAAAFAQAADwAAAGRycy9kb3ducmV2LnhtbEyPwU7DMBBE70j8g7VI&#10;XBB1aqkFhTgVtHCDQ0vV8zZekoh4HdlOk/497okeRzOaeVOsJtuJE/nQOtYwn2UgiCtnWq417L8/&#10;Hp9BhIhssHNMGs4UYFXe3hSYGzfylk67WItUwiFHDU2MfS5lqBqyGGauJ07ej/MWY5K+lsbjmMpt&#10;J1WWLaXFltNCgz2tG6p+d4PVsNz4Ydzy+mGzf//Er75Wh7fzQev7u+n1BUSkKf6H4YKf0KFMTEc3&#10;sAmi05CORA0KxMWbL7IFiKOGJ6VAloW8pi//AAAA//8DAFBLAQItABQABgAIAAAAIQC2gziS/gAA&#10;AOEBAAATAAAAAAAAAAAAAAAAAAAAAABbQ29udGVudF9UeXBlc10ueG1sUEsBAi0AFAAGAAgAAAAh&#10;ADj9If/WAAAAlAEAAAsAAAAAAAAAAAAAAAAALwEAAF9yZWxzLy5yZWxzUEsBAi0AFAAGAAgAAAAh&#10;AGpKhdUYAgAAOwQAAA4AAAAAAAAAAAAAAAAALgIAAGRycy9lMm9Eb2MueG1sUEsBAi0AFAAGAAgA&#10;AAAhAHCrtVrbAAAABQEAAA8AAAAAAAAAAAAAAAAAcgQAAGRycy9kb3ducmV2LnhtbFBLBQYAAAAA&#10;BAAEAPMAAAB6BQAAAAA=&#10;" stroked="f">
                <v:textbox inset="0,0,0,0">
                  <w:txbxContent>
                    <w:p w14:paraId="3B0963A2" w14:textId="62A96E1A" w:rsidR="003E5781" w:rsidRPr="003E5781" w:rsidRDefault="003E5781" w:rsidP="003E5781">
                      <w:pPr>
                        <w:pStyle w:val="Caption"/>
                        <w:rPr>
                          <w:noProof/>
                          <w:sz w:val="28"/>
                          <w:szCs w:val="28"/>
                        </w:rPr>
                      </w:pPr>
                      <w:r w:rsidRPr="003E5781">
                        <w:t xml:space="preserve">Table </w:t>
                      </w:r>
                      <w:fldSimple w:instr=" SEQ Table \* ARABIC ">
                        <w:r w:rsidRPr="003E5781">
                          <w:rPr>
                            <w:noProof/>
                          </w:rPr>
                          <w:t>1</w:t>
                        </w:r>
                      </w:fldSimple>
                      <w:r w:rsidRPr="003E5781">
                        <w:t xml:space="preserve"> - Summary statistics for numeric variables including percent cover data, invertebrate abundance data, and invertebrate mean measurement data.</w:t>
                      </w:r>
                      <w:r>
                        <w:t xml:space="preserve"> Summary statistics include mean, median, standard deviation, </w:t>
                      </w:r>
                      <w:r w:rsidR="00BF2797">
                        <w:t>minimum, maximum, skew, and kurtosis.</w:t>
                      </w:r>
                    </w:p>
                  </w:txbxContent>
                </v:textbox>
                <w10:wrap anchorx="margin"/>
              </v:shape>
            </w:pict>
          </mc:Fallback>
        </mc:AlternateContent>
      </w:r>
      <w:r>
        <w:rPr>
          <w:i w:val="0"/>
          <w:iCs w:val="0"/>
        </w:rPr>
        <w:t xml:space="preserve">F. Vesiculosus </w:t>
      </w:r>
      <w:r>
        <w:t xml:space="preserve">and </w:t>
      </w:r>
      <w:r>
        <w:rPr>
          <w:i w:val="0"/>
          <w:iCs w:val="0"/>
        </w:rPr>
        <w:t>A. nodosum</w:t>
      </w:r>
      <w:r>
        <w:t xml:space="preserve"> Frequency Distribution</w:t>
      </w:r>
    </w:p>
    <w:p w14:paraId="486335EA" w14:textId="6836C1D1" w:rsidR="003E5781" w:rsidRDefault="00BF2797" w:rsidP="00BF2797">
      <w:pPr>
        <w:pStyle w:val="BulkofText"/>
        <w:jc w:val="center"/>
      </w:pPr>
      <w:r>
        <w:rPr>
          <w:noProof/>
        </w:rPr>
        <w:drawing>
          <wp:inline distT="0" distB="0" distL="0" distR="0" wp14:anchorId="5959F2D3" wp14:editId="7709F964">
            <wp:extent cx="7416541" cy="3726363"/>
            <wp:effectExtent l="0" t="2857" r="0" b="0"/>
            <wp:docPr id="509222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432453" cy="3734358"/>
                    </a:xfrm>
                    <a:prstGeom prst="rect">
                      <a:avLst/>
                    </a:prstGeom>
                    <a:noFill/>
                    <a:ln>
                      <a:noFill/>
                    </a:ln>
                  </pic:spPr>
                </pic:pic>
              </a:graphicData>
            </a:graphic>
          </wp:inline>
        </w:drawing>
      </w:r>
    </w:p>
    <w:p w14:paraId="37521CB5" w14:textId="49A609D6" w:rsidR="003E5781" w:rsidRPr="003E5781" w:rsidRDefault="00BF2797" w:rsidP="003E5781">
      <w:pPr>
        <w:pStyle w:val="BulkofText"/>
      </w:pPr>
      <w:r>
        <w:lastRenderedPageBreak/>
        <w:t xml:space="preserve">Some immediately noteworthy trends in the summary statistics table are the high frequency of zeroes (many variables have a median value of zero), which suggests a very zero heavy dataset. Some variables have no data at all, which is either an error (i.e., in the case of </w:t>
      </w:r>
      <w:r>
        <w:rPr>
          <w:i/>
          <w:iCs/>
        </w:rPr>
        <w:t xml:space="preserve">C. </w:t>
      </w:r>
      <w:proofErr w:type="spellStart"/>
      <w:r>
        <w:rPr>
          <w:i/>
          <w:iCs/>
        </w:rPr>
        <w:t>maenas</w:t>
      </w:r>
      <w:proofErr w:type="spellEnd"/>
      <w:r>
        <w:t xml:space="preserve"> as described above), or suggests total absence from the plots. The target variables of </w:t>
      </w:r>
      <w:r>
        <w:rPr>
          <w:i/>
          <w:iCs/>
        </w:rPr>
        <w:t xml:space="preserve">F. vesiculosus </w:t>
      </w:r>
      <w:r>
        <w:t xml:space="preserve">(or </w:t>
      </w:r>
      <w:r>
        <w:rPr>
          <w:i/>
          <w:iCs/>
        </w:rPr>
        <w:t>spp.</w:t>
      </w:r>
      <w:r>
        <w:t>)</w:t>
      </w:r>
      <w:r>
        <w:rPr>
          <w:i/>
          <w:iCs/>
        </w:rPr>
        <w:t xml:space="preserve"> </w:t>
      </w:r>
      <w:r>
        <w:t xml:space="preserve">and </w:t>
      </w:r>
      <w:r>
        <w:rPr>
          <w:i/>
          <w:iCs/>
        </w:rPr>
        <w:t>A. nodosum</w:t>
      </w:r>
      <w:r>
        <w:t xml:space="preserve"> have moderately high average cover, but have high standard deviation, suggesting high variability in percent cover. They are both relatively present but also have spikes of high concentration in certain plots.</w:t>
      </w:r>
    </w:p>
    <w:p w14:paraId="5C25A55A" w14:textId="4524A039" w:rsidR="003E5781" w:rsidRDefault="00BF2797" w:rsidP="003E5781">
      <w:pPr>
        <w:pStyle w:val="Heading2"/>
        <w:rPr>
          <w:i w:val="0"/>
          <w:iCs w:val="0"/>
        </w:rPr>
      </w:pPr>
      <w:r>
        <w:rPr>
          <w:i w:val="0"/>
          <w:iCs w:val="0"/>
        </w:rPr>
        <w:t>Principal Component Analysis Scree Plot</w:t>
      </w:r>
    </w:p>
    <w:p w14:paraId="47A922E8" w14:textId="77777777" w:rsidR="00BF2797" w:rsidRDefault="00BF2797" w:rsidP="00BF2797">
      <w:pPr>
        <w:keepNext/>
      </w:pPr>
      <w:r>
        <w:rPr>
          <w:noProof/>
        </w:rPr>
        <w:drawing>
          <wp:inline distT="0" distB="0" distL="0" distR="0" wp14:anchorId="3622E6BA" wp14:editId="6B5CE332">
            <wp:extent cx="5943600" cy="3667125"/>
            <wp:effectExtent l="0" t="0" r="0" b="9525"/>
            <wp:docPr id="20042335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52504427" w14:textId="4D590F10" w:rsidR="00BF2797" w:rsidRDefault="00BF2797" w:rsidP="00BF2797">
      <w:pPr>
        <w:pStyle w:val="Caption"/>
      </w:pPr>
      <w:r>
        <w:t xml:space="preserve">Figure </w:t>
      </w:r>
      <w:fldSimple w:instr=" SEQ Figure \* ARABIC ">
        <w:r>
          <w:rPr>
            <w:noProof/>
          </w:rPr>
          <w:t>5</w:t>
        </w:r>
      </w:fldSimple>
      <w:r>
        <w:t xml:space="preserve"> - Principal Component Analysis proportion of variance explained by each principal component. Variance explained per PC is low, drops off precipitously between the first three PCs, and has a consistent but slow decline afterwards.</w:t>
      </w:r>
    </w:p>
    <w:p w14:paraId="5ED5C4AB" w14:textId="5A59A554" w:rsidR="00BF2797" w:rsidRDefault="00BF2797" w:rsidP="00BF2797">
      <w:pPr>
        <w:pStyle w:val="BulkofText"/>
      </w:pPr>
      <w:r>
        <w:t xml:space="preserve">The scree plot shows that each individual principal component from the PCA is capturing very little of the variability in the data. PC1 accounts for barely 10% of the variability, and it takes a </w:t>
      </w:r>
      <w:r>
        <w:lastRenderedPageBreak/>
        <w:t>large number of PCs to explain the majority of the variability. This suggests that the data is weakly structured and high dimensional, the latter of which we know to be true. This also may be a result of the large number of zeroes throughout every variable, which may make the variance difficult to encapsulate here.</w:t>
      </w:r>
    </w:p>
    <w:p w14:paraId="7A119D6B" w14:textId="69B59B0C" w:rsidR="00BF2797" w:rsidRPr="00D82A90" w:rsidRDefault="00BF2797" w:rsidP="00BF2797">
      <w:pPr>
        <w:pStyle w:val="Heading1"/>
        <w:spacing w:before="0"/>
      </w:pPr>
      <w:r>
        <w:t>Discussion</w:t>
      </w:r>
    </w:p>
    <w:p w14:paraId="10D10A82" w14:textId="0A4F48D2" w:rsidR="00BF2797" w:rsidRDefault="00647E03" w:rsidP="00BF2797">
      <w:pPr>
        <w:pStyle w:val="Heading2"/>
      </w:pPr>
      <w:r>
        <w:t>Conclusions</w:t>
      </w:r>
    </w:p>
    <w:p w14:paraId="5E9B136B" w14:textId="3853C893" w:rsidR="00647E03" w:rsidRDefault="00647E03" w:rsidP="00647E03">
      <w:pPr>
        <w:pStyle w:val="BulkofText"/>
      </w:pPr>
      <w:r>
        <w:t xml:space="preserve">Table 1, Figure 4, and Figure 5 strongly suggest that the copious number of zeroes in both the target and predictor variables are skewing my ability to interpret the dataset and understand what drives the variability. These exploratory plots and table suggest that, in its current state, the data will be difficult to model with and may violate many key assumptions. The distributions of </w:t>
      </w:r>
      <w:r>
        <w:rPr>
          <w:i/>
          <w:iCs/>
        </w:rPr>
        <w:t xml:space="preserve">F. vesiculosus </w:t>
      </w:r>
      <w:r>
        <w:t xml:space="preserve">and </w:t>
      </w:r>
      <w:r>
        <w:rPr>
          <w:i/>
          <w:iCs/>
        </w:rPr>
        <w:t>A. nodosum</w:t>
      </w:r>
      <w:r>
        <w:t xml:space="preserve"> described in Figure 4 and Table 1 are congruent with what I have anecdotally experienced in the field</w:t>
      </w:r>
      <w:r w:rsidRPr="007A4AA7">
        <w:t>—</w:t>
      </w:r>
      <w:r>
        <w:t>both macroalgae species are present throughout the intertidal sporadically, with additional specific areas that they thrive and overwhelmingly dominate. Figures 2 and 3 suggest that there are some relationships between motile invertebrate abundance and macroalgae percent cover of the target variables, which is promising for the research question, though the actual scatterplots look far from conclusive, despite the trendlines suggesting those relationships. Figure 1 suggests that there is very little multicollinearity in the data, which is both welcome and unexpected, as I would have expected many of the percent cover and abundance variables to be correlated.</w:t>
      </w:r>
    </w:p>
    <w:p w14:paraId="485F03DF" w14:textId="53D3D21C" w:rsidR="00647E03" w:rsidRDefault="00647E03" w:rsidP="00647E03">
      <w:pPr>
        <w:pStyle w:val="Heading2"/>
      </w:pPr>
      <w:r>
        <w:lastRenderedPageBreak/>
        <w:t>Next Steps</w:t>
      </w:r>
    </w:p>
    <w:p w14:paraId="6E89D8DC" w14:textId="7BF0017F" w:rsidR="00647E03" w:rsidRPr="00647E03" w:rsidRDefault="00647E03" w:rsidP="00647E03">
      <w:pPr>
        <w:pStyle w:val="BulkofText"/>
      </w:pPr>
      <w:r>
        <w:t xml:space="preserve">The primary issue facing this analysis, as suggested by Figure 4, Table 1, and Figure 5, is the overwhelming skew towards zero across many of the features of this dataset. Some of these may be errors and will be resolved by further communicating with the NETN Data Manager, but it is likely that I will need to transform the data in some way or select a model that can handle zero inflation well. </w:t>
      </w:r>
      <w:r w:rsidR="00E30394">
        <w:t xml:space="preserve">I believe a log transformation will help with the zero inflation issue, and </w:t>
      </w:r>
      <w:r>
        <w:t xml:space="preserve">I believe that Random Forest or </w:t>
      </w:r>
      <w:proofErr w:type="spellStart"/>
      <w:r>
        <w:t>xgBoost</w:t>
      </w:r>
      <w:proofErr w:type="spellEnd"/>
      <w:r>
        <w:t xml:space="preserve"> should perform well even with this nonlinear distribution, though </w:t>
      </w:r>
      <w:r w:rsidR="00E30394">
        <w:t xml:space="preserve">the model </w:t>
      </w:r>
      <w:r>
        <w:t xml:space="preserve">may </w:t>
      </w:r>
      <w:r w:rsidR="00E30394">
        <w:t xml:space="preserve">still </w:t>
      </w:r>
      <w:r>
        <w:t>lean too heavily towards predicting zero. If I find that the model is struggling, I may transform my data altogether to a presence vs. absence question, rather than a continuous percent cover variable. This will diminish the value of the conclusion of the analysis in my mind, but may be a necessary pivot if all else fails.</w:t>
      </w:r>
    </w:p>
    <w:p w14:paraId="7778CBB5" w14:textId="77777777" w:rsidR="00BF2797" w:rsidRPr="00BF2797" w:rsidRDefault="00BF2797" w:rsidP="00BF2797">
      <w:pPr>
        <w:pStyle w:val="BulkofText"/>
      </w:pPr>
    </w:p>
    <w:p w14:paraId="49CE773A" w14:textId="03E10E0D" w:rsidR="00D77685" w:rsidRDefault="00D77685" w:rsidP="003E5781">
      <w:pPr>
        <w:pStyle w:val="BulkofText"/>
        <w:rPr>
          <w:rFonts w:eastAsiaTheme="majorEastAsia"/>
          <w:sz w:val="36"/>
          <w:szCs w:val="36"/>
        </w:rPr>
      </w:pPr>
      <w:r>
        <w:br w:type="page"/>
      </w:r>
    </w:p>
    <w:p w14:paraId="1412796D" w14:textId="0F805877" w:rsidR="00910C71" w:rsidRDefault="00910C71" w:rsidP="00090F42">
      <w:pPr>
        <w:pStyle w:val="Heading1"/>
        <w:numPr>
          <w:ilvl w:val="0"/>
          <w:numId w:val="0"/>
        </w:numPr>
        <w:spacing w:before="0"/>
      </w:pPr>
      <w:r>
        <w:lastRenderedPageBreak/>
        <w:t>References</w:t>
      </w:r>
    </w:p>
    <w:p w14:paraId="04080ABB" w14:textId="77777777" w:rsidR="003E5781" w:rsidRPr="003E5781" w:rsidRDefault="00910C71" w:rsidP="003E5781">
      <w:pPr>
        <w:pStyle w:val="Bibliography"/>
        <w:rPr>
          <w:rFonts w:ascii="Calibri" w:hAnsi="Calibri" w:cs="Calibri"/>
        </w:rPr>
      </w:pPr>
      <w:r>
        <w:fldChar w:fldCharType="begin"/>
      </w:r>
      <w:r w:rsidR="003E5781">
        <w:instrText xml:space="preserve"> ADDIN ZOTERO_BIBL {"uncited":[],"omitted":[],"custom":[]} CSL_BIBLIOGRAPHY </w:instrText>
      </w:r>
      <w:r>
        <w:fldChar w:fldCharType="separate"/>
      </w:r>
      <w:r w:rsidR="003E5781" w:rsidRPr="003E5781">
        <w:rPr>
          <w:rFonts w:ascii="Calibri" w:hAnsi="Calibri" w:cs="Calibri"/>
        </w:rPr>
        <w:t>Hadlock, R. H. 1979. The distribution of Littorina obtusata (L.) in the rocky intertidal: effects of competition with Littorina littorea (L.). Master’s thesis, Department of Zoology, University of Rhode Island, Kingston, RI.</w:t>
      </w:r>
    </w:p>
    <w:p w14:paraId="439061A1" w14:textId="77777777" w:rsidR="003E5781" w:rsidRPr="003E5781" w:rsidRDefault="003E5781" w:rsidP="003E5781">
      <w:pPr>
        <w:pStyle w:val="Bibliography"/>
        <w:rPr>
          <w:rFonts w:ascii="Calibri" w:hAnsi="Calibri" w:cs="Calibri"/>
        </w:rPr>
      </w:pPr>
      <w:proofErr w:type="spellStart"/>
      <w:r w:rsidRPr="003E5781">
        <w:rPr>
          <w:rFonts w:ascii="Calibri" w:hAnsi="Calibri" w:cs="Calibri"/>
        </w:rPr>
        <w:t>Jueterbock</w:t>
      </w:r>
      <w:proofErr w:type="spellEnd"/>
      <w:r w:rsidRPr="003E5781">
        <w:rPr>
          <w:rFonts w:ascii="Calibri" w:hAnsi="Calibri" w:cs="Calibri"/>
        </w:rPr>
        <w:t xml:space="preserve">, A., L. </w:t>
      </w:r>
      <w:proofErr w:type="spellStart"/>
      <w:r w:rsidRPr="003E5781">
        <w:rPr>
          <w:rFonts w:ascii="Calibri" w:hAnsi="Calibri" w:cs="Calibri"/>
        </w:rPr>
        <w:t>Tyberghein</w:t>
      </w:r>
      <w:proofErr w:type="spellEnd"/>
      <w:r w:rsidRPr="003E5781">
        <w:rPr>
          <w:rFonts w:ascii="Calibri" w:hAnsi="Calibri" w:cs="Calibri"/>
        </w:rPr>
        <w:t>, H. Verbruggen, J. A. Coyer, J. L. Olsen, and G. Hoarau. 2013. Climate change impact on seaweed meadow distribution in the North Atlantic rocky intertidal. Ecology and evolution 3:1356–1373.</w:t>
      </w:r>
    </w:p>
    <w:p w14:paraId="14FE3216" w14:textId="77777777" w:rsidR="003E5781" w:rsidRPr="003E5781" w:rsidRDefault="003E5781" w:rsidP="003E5781">
      <w:pPr>
        <w:pStyle w:val="Bibliography"/>
        <w:rPr>
          <w:rFonts w:ascii="Calibri" w:hAnsi="Calibri" w:cs="Calibri"/>
        </w:rPr>
      </w:pPr>
      <w:r w:rsidRPr="003E5781">
        <w:rPr>
          <w:rFonts w:ascii="Calibri" w:hAnsi="Calibri" w:cs="Calibri"/>
        </w:rPr>
        <w:t xml:space="preserve">Linnaeus, C. 1753. Species plantarum, </w:t>
      </w:r>
      <w:proofErr w:type="spellStart"/>
      <w:r w:rsidRPr="003E5781">
        <w:rPr>
          <w:rFonts w:ascii="Calibri" w:hAnsi="Calibri" w:cs="Calibri"/>
        </w:rPr>
        <w:t>exhibentes</w:t>
      </w:r>
      <w:proofErr w:type="spellEnd"/>
      <w:r w:rsidRPr="003E5781">
        <w:rPr>
          <w:rFonts w:ascii="Calibri" w:hAnsi="Calibri" w:cs="Calibri"/>
        </w:rPr>
        <w:t xml:space="preserve"> </w:t>
      </w:r>
      <w:proofErr w:type="spellStart"/>
      <w:r w:rsidRPr="003E5781">
        <w:rPr>
          <w:rFonts w:ascii="Calibri" w:hAnsi="Calibri" w:cs="Calibri"/>
        </w:rPr>
        <w:t>plantas</w:t>
      </w:r>
      <w:proofErr w:type="spellEnd"/>
      <w:r w:rsidRPr="003E5781">
        <w:rPr>
          <w:rFonts w:ascii="Calibri" w:hAnsi="Calibri" w:cs="Calibri"/>
        </w:rPr>
        <w:t xml:space="preserve"> rite </w:t>
      </w:r>
      <w:proofErr w:type="spellStart"/>
      <w:r w:rsidRPr="003E5781">
        <w:rPr>
          <w:rFonts w:ascii="Calibri" w:hAnsi="Calibri" w:cs="Calibri"/>
        </w:rPr>
        <w:t>cognitas</w:t>
      </w:r>
      <w:proofErr w:type="spellEnd"/>
      <w:r w:rsidRPr="003E5781">
        <w:rPr>
          <w:rFonts w:ascii="Calibri" w:hAnsi="Calibri" w:cs="Calibri"/>
        </w:rPr>
        <w:t xml:space="preserve"> ad genera </w:t>
      </w:r>
      <w:proofErr w:type="spellStart"/>
      <w:r w:rsidRPr="003E5781">
        <w:rPr>
          <w:rFonts w:ascii="Calibri" w:hAnsi="Calibri" w:cs="Calibri"/>
        </w:rPr>
        <w:t>relatas</w:t>
      </w:r>
      <w:proofErr w:type="spellEnd"/>
      <w:r w:rsidRPr="003E5781">
        <w:rPr>
          <w:rFonts w:ascii="Calibri" w:hAnsi="Calibri" w:cs="Calibri"/>
        </w:rPr>
        <w:t xml:space="preserve"> cum </w:t>
      </w:r>
      <w:proofErr w:type="spellStart"/>
      <w:r w:rsidRPr="003E5781">
        <w:rPr>
          <w:rFonts w:ascii="Calibri" w:hAnsi="Calibri" w:cs="Calibri"/>
        </w:rPr>
        <w:t>differentiis</w:t>
      </w:r>
      <w:proofErr w:type="spellEnd"/>
      <w:r w:rsidRPr="003E5781">
        <w:rPr>
          <w:rFonts w:ascii="Calibri" w:hAnsi="Calibri" w:cs="Calibri"/>
        </w:rPr>
        <w:t xml:space="preserve"> </w:t>
      </w:r>
      <w:proofErr w:type="spellStart"/>
      <w:r w:rsidRPr="003E5781">
        <w:rPr>
          <w:rFonts w:ascii="Calibri" w:hAnsi="Calibri" w:cs="Calibri"/>
        </w:rPr>
        <w:t>specificis</w:t>
      </w:r>
      <w:proofErr w:type="spellEnd"/>
      <w:r w:rsidRPr="003E5781">
        <w:rPr>
          <w:rFonts w:ascii="Calibri" w:hAnsi="Calibri" w:cs="Calibri"/>
        </w:rPr>
        <w:t xml:space="preserve">, </w:t>
      </w:r>
      <w:proofErr w:type="spellStart"/>
      <w:r w:rsidRPr="003E5781">
        <w:rPr>
          <w:rFonts w:ascii="Calibri" w:hAnsi="Calibri" w:cs="Calibri"/>
        </w:rPr>
        <w:t>nominibus</w:t>
      </w:r>
      <w:proofErr w:type="spellEnd"/>
      <w:r w:rsidRPr="003E5781">
        <w:rPr>
          <w:rFonts w:ascii="Calibri" w:hAnsi="Calibri" w:cs="Calibri"/>
        </w:rPr>
        <w:t xml:space="preserve"> </w:t>
      </w:r>
      <w:proofErr w:type="spellStart"/>
      <w:r w:rsidRPr="003E5781">
        <w:rPr>
          <w:rFonts w:ascii="Calibri" w:hAnsi="Calibri" w:cs="Calibri"/>
        </w:rPr>
        <w:t>trivialibus</w:t>
      </w:r>
      <w:proofErr w:type="spellEnd"/>
      <w:r w:rsidRPr="003E5781">
        <w:rPr>
          <w:rFonts w:ascii="Calibri" w:hAnsi="Calibri" w:cs="Calibri"/>
        </w:rPr>
        <w:t xml:space="preserve">, </w:t>
      </w:r>
      <w:proofErr w:type="spellStart"/>
      <w:r w:rsidRPr="003E5781">
        <w:rPr>
          <w:rFonts w:ascii="Calibri" w:hAnsi="Calibri" w:cs="Calibri"/>
        </w:rPr>
        <w:t>synonymis</w:t>
      </w:r>
      <w:proofErr w:type="spellEnd"/>
      <w:r w:rsidRPr="003E5781">
        <w:rPr>
          <w:rFonts w:ascii="Calibri" w:hAnsi="Calibri" w:cs="Calibri"/>
        </w:rPr>
        <w:t xml:space="preserve"> </w:t>
      </w:r>
      <w:proofErr w:type="spellStart"/>
      <w:r w:rsidRPr="003E5781">
        <w:rPr>
          <w:rFonts w:ascii="Calibri" w:hAnsi="Calibri" w:cs="Calibri"/>
        </w:rPr>
        <w:t>selectis</w:t>
      </w:r>
      <w:proofErr w:type="spellEnd"/>
      <w:r w:rsidRPr="003E5781">
        <w:rPr>
          <w:rFonts w:ascii="Calibri" w:hAnsi="Calibri" w:cs="Calibri"/>
        </w:rPr>
        <w:t xml:space="preserve">, </w:t>
      </w:r>
      <w:proofErr w:type="spellStart"/>
      <w:r w:rsidRPr="003E5781">
        <w:rPr>
          <w:rFonts w:ascii="Calibri" w:hAnsi="Calibri" w:cs="Calibri"/>
        </w:rPr>
        <w:t>locis</w:t>
      </w:r>
      <w:proofErr w:type="spellEnd"/>
      <w:r w:rsidRPr="003E5781">
        <w:rPr>
          <w:rFonts w:ascii="Calibri" w:hAnsi="Calibri" w:cs="Calibri"/>
        </w:rPr>
        <w:t xml:space="preserve"> </w:t>
      </w:r>
      <w:proofErr w:type="spellStart"/>
      <w:r w:rsidRPr="003E5781">
        <w:rPr>
          <w:rFonts w:ascii="Calibri" w:hAnsi="Calibri" w:cs="Calibri"/>
        </w:rPr>
        <w:t>natalibus</w:t>
      </w:r>
      <w:proofErr w:type="spellEnd"/>
      <w:r w:rsidRPr="003E5781">
        <w:rPr>
          <w:rFonts w:ascii="Calibri" w:hAnsi="Calibri" w:cs="Calibri"/>
        </w:rPr>
        <w:t xml:space="preserve">, secundum systema </w:t>
      </w:r>
      <w:proofErr w:type="spellStart"/>
      <w:r w:rsidRPr="003E5781">
        <w:rPr>
          <w:rFonts w:ascii="Calibri" w:hAnsi="Calibri" w:cs="Calibri"/>
        </w:rPr>
        <w:t>sexuale</w:t>
      </w:r>
      <w:proofErr w:type="spellEnd"/>
      <w:r w:rsidRPr="003E5781">
        <w:rPr>
          <w:rFonts w:ascii="Calibri" w:hAnsi="Calibri" w:cs="Calibri"/>
        </w:rPr>
        <w:t xml:space="preserve"> </w:t>
      </w:r>
      <w:proofErr w:type="spellStart"/>
      <w:r w:rsidRPr="003E5781">
        <w:rPr>
          <w:rFonts w:ascii="Calibri" w:hAnsi="Calibri" w:cs="Calibri"/>
        </w:rPr>
        <w:t>digestas</w:t>
      </w:r>
      <w:proofErr w:type="spellEnd"/>
      <w:r w:rsidRPr="003E5781">
        <w:rPr>
          <w:rFonts w:ascii="Calibri" w:hAnsi="Calibri" w:cs="Calibri"/>
        </w:rPr>
        <w:t>. Vol 1.</w:t>
      </w:r>
    </w:p>
    <w:p w14:paraId="76D42C3D" w14:textId="77777777" w:rsidR="003E5781" w:rsidRPr="003E5781" w:rsidRDefault="003E5781" w:rsidP="003E5781">
      <w:pPr>
        <w:pStyle w:val="Bibliography"/>
        <w:rPr>
          <w:rFonts w:ascii="Calibri" w:hAnsi="Calibri" w:cs="Calibri"/>
        </w:rPr>
      </w:pPr>
      <w:proofErr w:type="spellStart"/>
      <w:r w:rsidRPr="003E5781">
        <w:rPr>
          <w:rFonts w:ascii="Calibri" w:hAnsi="Calibri" w:cs="Calibri"/>
        </w:rPr>
        <w:t>Marbà</w:t>
      </w:r>
      <w:proofErr w:type="spellEnd"/>
      <w:r w:rsidRPr="003E5781">
        <w:rPr>
          <w:rFonts w:ascii="Calibri" w:hAnsi="Calibri" w:cs="Calibri"/>
        </w:rPr>
        <w:t xml:space="preserve">, N., D. Krause-Jensen, B. Olesen, P. B. Christensen, A. Merzouk, J. Rodrigues, S. Wegeberg, and R. T. Wilce. 2017. Climate change stimulates the growth of the intertidal macroalgae Ascophyllum nodosum near the northern distribution limit. </w:t>
      </w:r>
      <w:proofErr w:type="spellStart"/>
      <w:r w:rsidRPr="003E5781">
        <w:rPr>
          <w:rFonts w:ascii="Calibri" w:hAnsi="Calibri" w:cs="Calibri"/>
        </w:rPr>
        <w:t>Ambio</w:t>
      </w:r>
      <w:proofErr w:type="spellEnd"/>
      <w:r w:rsidRPr="003E5781">
        <w:rPr>
          <w:rFonts w:ascii="Calibri" w:hAnsi="Calibri" w:cs="Calibri"/>
        </w:rPr>
        <w:t xml:space="preserve"> 46:119–131.</w:t>
      </w:r>
    </w:p>
    <w:p w14:paraId="44B20D7B" w14:textId="77777777" w:rsidR="003E5781" w:rsidRPr="003E5781" w:rsidRDefault="003E5781" w:rsidP="003E5781">
      <w:pPr>
        <w:pStyle w:val="Bibliography"/>
        <w:rPr>
          <w:rFonts w:ascii="Calibri" w:hAnsi="Calibri" w:cs="Calibri"/>
        </w:rPr>
      </w:pPr>
      <w:r w:rsidRPr="003E5781">
        <w:rPr>
          <w:rFonts w:ascii="Calibri" w:hAnsi="Calibri" w:cs="Calibri"/>
        </w:rPr>
        <w:t>Northeast Temperate Network. 2021, January 1. Long-term Rocky Intertidal - Database. https://irma.nps.gov/DataStore/Reference/Profile/2289832.</w:t>
      </w:r>
    </w:p>
    <w:p w14:paraId="7DBC021E" w14:textId="77777777" w:rsidR="003E5781" w:rsidRPr="003E5781" w:rsidRDefault="003E5781" w:rsidP="003E5781">
      <w:pPr>
        <w:pStyle w:val="Bibliography"/>
        <w:rPr>
          <w:rFonts w:ascii="Calibri" w:hAnsi="Calibri" w:cs="Calibri"/>
        </w:rPr>
      </w:pPr>
      <w:r w:rsidRPr="003E5781">
        <w:rPr>
          <w:rFonts w:ascii="Calibri" w:hAnsi="Calibri" w:cs="Calibri"/>
        </w:rPr>
        <w:t xml:space="preserve">Watson, D. C., and T. A. Norton. 1985. Dietary preferences of the common periwinkle, </w:t>
      </w:r>
      <w:proofErr w:type="spellStart"/>
      <w:r w:rsidRPr="003E5781">
        <w:rPr>
          <w:rFonts w:ascii="Calibri" w:hAnsi="Calibri" w:cs="Calibri"/>
        </w:rPr>
        <w:t>Littorinalittorea</w:t>
      </w:r>
      <w:proofErr w:type="spellEnd"/>
      <w:r w:rsidRPr="003E5781">
        <w:rPr>
          <w:rFonts w:ascii="Calibri" w:hAnsi="Calibri" w:cs="Calibri"/>
        </w:rPr>
        <w:t xml:space="preserve"> (L.). Journal of Experimental Marine Biology and Ecology 88:193–211.</w:t>
      </w:r>
    </w:p>
    <w:p w14:paraId="30AA4251" w14:textId="77777777" w:rsidR="003E5781" w:rsidRPr="003E5781" w:rsidRDefault="003E5781" w:rsidP="003E5781">
      <w:pPr>
        <w:pStyle w:val="Bibliography"/>
        <w:rPr>
          <w:rFonts w:ascii="Calibri" w:hAnsi="Calibri" w:cs="Calibri"/>
        </w:rPr>
      </w:pPr>
      <w:r w:rsidRPr="003E5781">
        <w:rPr>
          <w:rFonts w:ascii="Calibri" w:hAnsi="Calibri" w:cs="Calibri"/>
        </w:rPr>
        <w:t xml:space="preserve">Watson, D. C., and T. A. Norton. 1987. The habitat and feeding preferences of Littorina obtusata (L.) and L. </w:t>
      </w:r>
      <w:proofErr w:type="spellStart"/>
      <w:r w:rsidRPr="003E5781">
        <w:rPr>
          <w:rFonts w:ascii="Calibri" w:hAnsi="Calibri" w:cs="Calibri"/>
        </w:rPr>
        <w:t>mariae</w:t>
      </w:r>
      <w:proofErr w:type="spellEnd"/>
      <w:r w:rsidRPr="003E5781">
        <w:rPr>
          <w:rFonts w:ascii="Calibri" w:hAnsi="Calibri" w:cs="Calibri"/>
        </w:rPr>
        <w:t xml:space="preserve"> </w:t>
      </w:r>
      <w:proofErr w:type="spellStart"/>
      <w:r w:rsidRPr="003E5781">
        <w:rPr>
          <w:rFonts w:ascii="Calibri" w:hAnsi="Calibri" w:cs="Calibri"/>
        </w:rPr>
        <w:t>sacchi</w:t>
      </w:r>
      <w:proofErr w:type="spellEnd"/>
      <w:r w:rsidRPr="003E5781">
        <w:rPr>
          <w:rFonts w:ascii="Calibri" w:hAnsi="Calibri" w:cs="Calibri"/>
        </w:rPr>
        <w:t xml:space="preserve"> et </w:t>
      </w:r>
      <w:proofErr w:type="spellStart"/>
      <w:r w:rsidRPr="003E5781">
        <w:rPr>
          <w:rFonts w:ascii="Calibri" w:hAnsi="Calibri" w:cs="Calibri"/>
        </w:rPr>
        <w:t>rastelli</w:t>
      </w:r>
      <w:proofErr w:type="spellEnd"/>
      <w:r w:rsidRPr="003E5781">
        <w:rPr>
          <w:rFonts w:ascii="Calibri" w:hAnsi="Calibri" w:cs="Calibri"/>
        </w:rPr>
        <w:t>. Journal of Experimental Marine Biology and Ecology 112:61–72.</w:t>
      </w:r>
    </w:p>
    <w:p w14:paraId="6594A1C2" w14:textId="4FE43495" w:rsidR="00910C71" w:rsidRPr="00910C71" w:rsidRDefault="00910C71" w:rsidP="00910C71">
      <w:r>
        <w:fldChar w:fldCharType="end"/>
      </w:r>
    </w:p>
    <w:sectPr w:rsidR="00910C71" w:rsidRPr="00910C71" w:rsidSect="00E2403E">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342F1" w14:textId="77777777" w:rsidR="000510FD" w:rsidRDefault="000510FD">
      <w:pPr>
        <w:spacing w:after="0" w:line="240" w:lineRule="auto"/>
      </w:pPr>
      <w:r>
        <w:separator/>
      </w:r>
    </w:p>
  </w:endnote>
  <w:endnote w:type="continuationSeparator" w:id="0">
    <w:p w14:paraId="683E90F8" w14:textId="77777777" w:rsidR="000510FD" w:rsidRDefault="00051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CC9DF" w14:textId="77777777" w:rsidR="000510FD" w:rsidRDefault="000510FD">
      <w:pPr>
        <w:spacing w:after="0" w:line="240" w:lineRule="auto"/>
      </w:pPr>
      <w:r>
        <w:separator/>
      </w:r>
    </w:p>
  </w:footnote>
  <w:footnote w:type="continuationSeparator" w:id="0">
    <w:p w14:paraId="5F0EF7BA" w14:textId="77777777" w:rsidR="000510FD" w:rsidRDefault="00051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E8138" w14:textId="2F89518B" w:rsidR="00E2403E" w:rsidRPr="00773F33" w:rsidRDefault="00A003ED" w:rsidP="00773F33">
    <w:pPr>
      <w:pStyle w:val="Header"/>
    </w:pPr>
    <w:r>
      <w:rPr>
        <w:rFonts w:ascii="Calibri" w:hAnsi="Calibri" w:cs="Calibri"/>
        <w:bCs/>
        <w:i/>
        <w:iCs/>
        <w:color w:val="808080" w:themeColor="background1" w:themeShade="80"/>
        <w:sz w:val="16"/>
        <w:szCs w:val="16"/>
      </w:rPr>
      <w:t>Exploratory Data Analysis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6D7003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55F0F"/>
    <w:multiLevelType w:val="hybridMultilevel"/>
    <w:tmpl w:val="DBD6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EB07AF"/>
    <w:multiLevelType w:val="hybridMultilevel"/>
    <w:tmpl w:val="570C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410273">
    <w:abstractNumId w:val="3"/>
  </w:num>
  <w:num w:numId="2" w16cid:durableId="1893542762">
    <w:abstractNumId w:val="2"/>
  </w:num>
  <w:num w:numId="3" w16cid:durableId="1770078338">
    <w:abstractNumId w:val="6"/>
  </w:num>
  <w:num w:numId="4" w16cid:durableId="82529714">
    <w:abstractNumId w:val="8"/>
  </w:num>
  <w:num w:numId="5" w16cid:durableId="1835800954">
    <w:abstractNumId w:val="0"/>
  </w:num>
  <w:num w:numId="6" w16cid:durableId="1114906106">
    <w:abstractNumId w:val="1"/>
  </w:num>
  <w:num w:numId="7" w16cid:durableId="1595939467">
    <w:abstractNumId w:val="4"/>
  </w:num>
  <w:num w:numId="8" w16cid:durableId="495852174">
    <w:abstractNumId w:val="5"/>
  </w:num>
  <w:num w:numId="9" w16cid:durableId="2076855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35695"/>
    <w:rsid w:val="00042B05"/>
    <w:rsid w:val="000510FD"/>
    <w:rsid w:val="00090F42"/>
    <w:rsid w:val="000F08FF"/>
    <w:rsid w:val="00112A76"/>
    <w:rsid w:val="00152920"/>
    <w:rsid w:val="0015736D"/>
    <w:rsid w:val="0019456F"/>
    <w:rsid w:val="001A23B4"/>
    <w:rsid w:val="001E1EA6"/>
    <w:rsid w:val="001F718F"/>
    <w:rsid w:val="002065CE"/>
    <w:rsid w:val="0021395A"/>
    <w:rsid w:val="00240F41"/>
    <w:rsid w:val="00257DC1"/>
    <w:rsid w:val="0026023F"/>
    <w:rsid w:val="00263880"/>
    <w:rsid w:val="002718F2"/>
    <w:rsid w:val="00272086"/>
    <w:rsid w:val="002C754F"/>
    <w:rsid w:val="002E12DB"/>
    <w:rsid w:val="002F3C95"/>
    <w:rsid w:val="00352C3A"/>
    <w:rsid w:val="00367990"/>
    <w:rsid w:val="00372687"/>
    <w:rsid w:val="00393964"/>
    <w:rsid w:val="0039438D"/>
    <w:rsid w:val="003C2DE7"/>
    <w:rsid w:val="003D727D"/>
    <w:rsid w:val="003E5781"/>
    <w:rsid w:val="003F0739"/>
    <w:rsid w:val="003F6F31"/>
    <w:rsid w:val="00405CC6"/>
    <w:rsid w:val="00415E50"/>
    <w:rsid w:val="00425093"/>
    <w:rsid w:val="004327F3"/>
    <w:rsid w:val="004328C3"/>
    <w:rsid w:val="0048200C"/>
    <w:rsid w:val="004A4225"/>
    <w:rsid w:val="004E53CF"/>
    <w:rsid w:val="004F79E6"/>
    <w:rsid w:val="005006E3"/>
    <w:rsid w:val="005152B4"/>
    <w:rsid w:val="00516F93"/>
    <w:rsid w:val="0055406D"/>
    <w:rsid w:val="0057306E"/>
    <w:rsid w:val="005A3C7E"/>
    <w:rsid w:val="005A75ED"/>
    <w:rsid w:val="005C6FCA"/>
    <w:rsid w:val="0060462D"/>
    <w:rsid w:val="0061081F"/>
    <w:rsid w:val="00622B6A"/>
    <w:rsid w:val="00640077"/>
    <w:rsid w:val="00647E03"/>
    <w:rsid w:val="0065061F"/>
    <w:rsid w:val="00694512"/>
    <w:rsid w:val="006A66A1"/>
    <w:rsid w:val="006F6114"/>
    <w:rsid w:val="00723845"/>
    <w:rsid w:val="0075180D"/>
    <w:rsid w:val="0076246E"/>
    <w:rsid w:val="007720E3"/>
    <w:rsid w:val="00773F33"/>
    <w:rsid w:val="00796C0F"/>
    <w:rsid w:val="007A3CB2"/>
    <w:rsid w:val="007F4A74"/>
    <w:rsid w:val="00835706"/>
    <w:rsid w:val="00887E99"/>
    <w:rsid w:val="008C2B65"/>
    <w:rsid w:val="00910C71"/>
    <w:rsid w:val="0091697C"/>
    <w:rsid w:val="00931A50"/>
    <w:rsid w:val="00933195"/>
    <w:rsid w:val="009435AB"/>
    <w:rsid w:val="00971EB5"/>
    <w:rsid w:val="009F7DEC"/>
    <w:rsid w:val="00A003ED"/>
    <w:rsid w:val="00A04FA8"/>
    <w:rsid w:val="00AB12F7"/>
    <w:rsid w:val="00AD3EC1"/>
    <w:rsid w:val="00AD55AE"/>
    <w:rsid w:val="00B25809"/>
    <w:rsid w:val="00B421C8"/>
    <w:rsid w:val="00B46DB7"/>
    <w:rsid w:val="00B7352A"/>
    <w:rsid w:val="00B82F1E"/>
    <w:rsid w:val="00BA55B0"/>
    <w:rsid w:val="00BC4288"/>
    <w:rsid w:val="00BD2B01"/>
    <w:rsid w:val="00BD3CD2"/>
    <w:rsid w:val="00BD4DAB"/>
    <w:rsid w:val="00BE4A08"/>
    <w:rsid w:val="00BF025B"/>
    <w:rsid w:val="00BF2797"/>
    <w:rsid w:val="00BF5DDB"/>
    <w:rsid w:val="00C06613"/>
    <w:rsid w:val="00C15CC7"/>
    <w:rsid w:val="00C326E2"/>
    <w:rsid w:val="00C33CC6"/>
    <w:rsid w:val="00C739E5"/>
    <w:rsid w:val="00CD5414"/>
    <w:rsid w:val="00CE295A"/>
    <w:rsid w:val="00D330E6"/>
    <w:rsid w:val="00D7064A"/>
    <w:rsid w:val="00D757B4"/>
    <w:rsid w:val="00D77685"/>
    <w:rsid w:val="00D82A90"/>
    <w:rsid w:val="00DB1E27"/>
    <w:rsid w:val="00E21057"/>
    <w:rsid w:val="00E2403E"/>
    <w:rsid w:val="00E24C6B"/>
    <w:rsid w:val="00E30394"/>
    <w:rsid w:val="00E30EC7"/>
    <w:rsid w:val="00E70821"/>
    <w:rsid w:val="00E96516"/>
    <w:rsid w:val="00EE69B8"/>
    <w:rsid w:val="00F01C7C"/>
    <w:rsid w:val="00F24F00"/>
    <w:rsid w:val="00F43FE0"/>
    <w:rsid w:val="00F546EF"/>
    <w:rsid w:val="00F94CDF"/>
    <w:rsid w:val="00FA2B73"/>
    <w:rsid w:val="00FB102D"/>
    <w:rsid w:val="00FC5A52"/>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5C6FCA"/>
    <w:pPr>
      <w:keepNext/>
      <w:keepLines/>
      <w:numPr>
        <w:ilvl w:val="1"/>
        <w:numId w:val="2"/>
      </w:numPr>
      <w:spacing w:before="360" w:after="80" w:line="480" w:lineRule="auto"/>
      <w:outlineLvl w:val="1"/>
    </w:pPr>
    <w:rPr>
      <w:rFonts w:ascii="Calibri" w:eastAsiaTheme="majorEastAsia" w:hAnsi="Calibri" w:cs="Calibri"/>
      <w:b/>
      <w:bCs/>
      <w:i/>
      <w:iCs/>
      <w:sz w:val="28"/>
      <w:szCs w:val="28"/>
    </w:rPr>
  </w:style>
  <w:style w:type="paragraph" w:styleId="Heading3">
    <w:name w:val="heading 3"/>
    <w:basedOn w:val="Normal"/>
    <w:next w:val="Normal"/>
    <w:link w:val="Heading3Char"/>
    <w:autoRedefine/>
    <w:uiPriority w:val="9"/>
    <w:unhideWhenUsed/>
    <w:qFormat/>
    <w:rsid w:val="0039438D"/>
    <w:pPr>
      <w:keepNext/>
      <w:keepLines/>
      <w:numPr>
        <w:ilvl w:val="2"/>
        <w:numId w:val="2"/>
      </w:numPr>
      <w:spacing w:before="240" w:after="80" w:line="276" w:lineRule="auto"/>
      <w:outlineLvl w:val="2"/>
    </w:pPr>
    <w:rPr>
      <w:rFonts w:ascii="Calibri" w:eastAsiaTheme="majorEastAsia" w:hAnsi="Calibri" w:cs="Calibri"/>
      <w:i/>
      <w:iCs/>
      <w:color w:val="44546A" w:themeColor="text2"/>
      <w:sz w:val="24"/>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5C6FCA"/>
    <w:rPr>
      <w:rFonts w:ascii="Calibri" w:eastAsiaTheme="majorEastAsia" w:hAnsi="Calibri" w:cs="Calibri"/>
      <w:b/>
      <w:bCs/>
      <w:i/>
      <w:iCs/>
      <w:kern w:val="2"/>
      <w:sz w:val="28"/>
      <w:szCs w:val="28"/>
      <w14:ligatures w14:val="standardContextual"/>
    </w:rPr>
  </w:style>
  <w:style w:type="character" w:customStyle="1" w:styleId="Heading3Char">
    <w:name w:val="Heading 3 Char"/>
    <w:basedOn w:val="DefaultParagraphFont"/>
    <w:link w:val="Heading3"/>
    <w:uiPriority w:val="9"/>
    <w:rsid w:val="0039438D"/>
    <w:rPr>
      <w:rFonts w:ascii="Calibri" w:eastAsiaTheme="majorEastAsia" w:hAnsi="Calibri" w:cs="Calibri"/>
      <w:i/>
      <w:iCs/>
      <w:color w:val="44546A" w:themeColor="text2"/>
      <w:kern w:val="2"/>
      <w:sz w:val="24"/>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39438D"/>
    <w:pPr>
      <w:spacing w:after="120" w:line="480" w:lineRule="auto"/>
    </w:pPr>
    <w:rPr>
      <w:rFonts w:ascii="Calibri" w:eastAsia="Arial" w:hAnsi="Calibri" w:cs="Calibri"/>
      <w:kern w:val="0"/>
      <w:sz w:val="24"/>
      <w:szCs w:val="24"/>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 w:type="paragraph" w:styleId="Bibliography">
    <w:name w:val="Bibliography"/>
    <w:basedOn w:val="Normal"/>
    <w:next w:val="Normal"/>
    <w:uiPriority w:val="37"/>
    <w:unhideWhenUsed/>
    <w:rsid w:val="00910C71"/>
  </w:style>
  <w:style w:type="character" w:styleId="Hyperlink">
    <w:name w:val="Hyperlink"/>
    <w:basedOn w:val="DefaultParagraphFont"/>
    <w:uiPriority w:val="99"/>
    <w:unhideWhenUsed/>
    <w:rsid w:val="008C2B65"/>
    <w:rPr>
      <w:color w:val="0563C1" w:themeColor="hyperlink"/>
      <w:u w:val="single"/>
    </w:rPr>
  </w:style>
  <w:style w:type="character" w:styleId="UnresolvedMention">
    <w:name w:val="Unresolved Mention"/>
    <w:basedOn w:val="DefaultParagraphFont"/>
    <w:uiPriority w:val="99"/>
    <w:semiHidden/>
    <w:unhideWhenUsed/>
    <w:rsid w:val="008C2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ma.nps.gov/DataStore/Reference/Profile/2289832"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C775F-BEDC-4520-A77D-2AB5C794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5717</TotalTime>
  <Pages>15</Pages>
  <Words>5257</Words>
  <Characters>29965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Nick Lagoni</cp:lastModifiedBy>
  <cp:revision>16</cp:revision>
  <dcterms:created xsi:type="dcterms:W3CDTF">2025-06-05T13:20:00Z</dcterms:created>
  <dcterms:modified xsi:type="dcterms:W3CDTF">2025-07-30T03:57:00Z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id="G4ww11f3"/&gt;&lt;style id="http://www.zotero.org/styles/ecology" hasBibliography="1" bibliographyStyleHasBeenSet="1"/&gt;&lt;prefs&gt;&lt;pref name="fieldType" value="Field"/&gt;&lt;/prefs&gt;&lt;/data&gt;</vt:lpwstr>
  </property>
</Properties>
</file>