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EBE42" w14:textId="00C7D0FC" w:rsidR="005006E3" w:rsidRPr="007A3CB2" w:rsidRDefault="00C06613" w:rsidP="007A3CB2">
      <w:pPr>
        <w:pStyle w:val="Title"/>
        <w:rPr>
          <w:rFonts w:ascii="Calibri" w:hAnsi="Calibri" w:cs="Calibri"/>
        </w:rPr>
      </w:pPr>
      <w:r>
        <w:rPr>
          <w:rFonts w:ascii="Calibri" w:hAnsi="Calibri" w:cs="Calibri"/>
        </w:rPr>
        <w:t xml:space="preserve">Predicting </w:t>
      </w:r>
      <w:r w:rsidR="0030622F">
        <w:rPr>
          <w:rFonts w:ascii="Calibri" w:hAnsi="Calibri" w:cs="Calibri"/>
        </w:rPr>
        <w:t>Abundance of Key Algal Species</w:t>
      </w:r>
      <w:r>
        <w:rPr>
          <w:rFonts w:ascii="Calibri" w:hAnsi="Calibri" w:cs="Calibri"/>
        </w:rPr>
        <w:t xml:space="preserve"> in The Rocky Intertidal of Acadia National Park</w:t>
      </w:r>
      <w:r w:rsidR="00BF025B">
        <w:rPr>
          <w:rFonts w:ascii="Calibri" w:hAnsi="Calibri" w:cs="Calibri"/>
        </w:rPr>
        <w:br/>
      </w:r>
      <w:bookmarkStart w:id="0" w:name="_Hlk196092901"/>
      <w:r w:rsidR="00C15CC7">
        <w:t xml:space="preserve">Final </w:t>
      </w:r>
      <w:r w:rsidR="0030622F">
        <w:t>Report</w:t>
      </w:r>
    </w:p>
    <w:bookmarkEnd w:id="0"/>
    <w:p w14:paraId="6C52F6FD" w14:textId="681AFDDE" w:rsidR="007A3CB2" w:rsidRPr="007A3CB2" w:rsidRDefault="007A3CB2" w:rsidP="007A3CB2">
      <w:pPr>
        <w:pStyle w:val="Subtitle"/>
      </w:pPr>
      <w:r>
        <w:t>DSE</w:t>
      </w:r>
      <w:r w:rsidR="0019456F">
        <w:t>6</w:t>
      </w:r>
      <w:r w:rsidR="00C06613">
        <w:t>311</w:t>
      </w:r>
      <w:r>
        <w:t xml:space="preserve"> – S</w:t>
      </w:r>
      <w:r w:rsidR="0019456F">
        <w:t>U</w:t>
      </w:r>
      <w:r w:rsidR="00C06613">
        <w:t>2</w:t>
      </w:r>
      <w:r>
        <w:t xml:space="preserve"> 2025</w:t>
      </w:r>
      <w:r>
        <w:br/>
        <w:t>Nick Lagoni</w:t>
      </w:r>
      <w:r>
        <w:br/>
      </w:r>
      <w:r w:rsidR="0030622F">
        <w:t>8</w:t>
      </w:r>
      <w:r>
        <w:t>/</w:t>
      </w:r>
      <w:r w:rsidR="00C15CC7">
        <w:t>2</w:t>
      </w:r>
      <w:r w:rsidR="0030622F">
        <w:t>7</w:t>
      </w:r>
      <w:r>
        <w:t>/2025</w:t>
      </w:r>
    </w:p>
    <w:p w14:paraId="3C327749" w14:textId="6273079E" w:rsidR="005006E3" w:rsidRPr="00CE295A" w:rsidRDefault="005006E3" w:rsidP="0039438D">
      <w:pPr>
        <w:pStyle w:val="BulkofText"/>
      </w:pPr>
      <w:r w:rsidRPr="00CE295A">
        <w:br w:type="page"/>
      </w:r>
    </w:p>
    <w:p w14:paraId="19656192" w14:textId="5B3490F2" w:rsidR="006F55F2" w:rsidRDefault="006F55F2" w:rsidP="006F55F2">
      <w:pPr>
        <w:pStyle w:val="Heading1"/>
        <w:numPr>
          <w:ilvl w:val="0"/>
          <w:numId w:val="0"/>
        </w:numPr>
      </w:pPr>
      <w:r>
        <w:lastRenderedPageBreak/>
        <w:t>Executive Summary</w:t>
      </w:r>
      <w:r>
        <w:br w:type="page"/>
      </w:r>
    </w:p>
    <w:p w14:paraId="49DE456E" w14:textId="6EED1C58" w:rsidR="00E70821" w:rsidRDefault="00E70821" w:rsidP="000F08FF">
      <w:pPr>
        <w:pStyle w:val="Heading1"/>
        <w:spacing w:before="0"/>
      </w:pPr>
      <w:r>
        <w:lastRenderedPageBreak/>
        <w:t>Introduction</w:t>
      </w:r>
    </w:p>
    <w:p w14:paraId="2D23FE52" w14:textId="72842531" w:rsidR="00C06613" w:rsidRPr="005C6FCA" w:rsidRDefault="00C06613" w:rsidP="005C6FCA">
      <w:pPr>
        <w:pStyle w:val="Heading2"/>
      </w:pPr>
      <w:r w:rsidRPr="005C6FCA">
        <w:t>Background</w:t>
      </w:r>
    </w:p>
    <w:p w14:paraId="48715813" w14:textId="2131740C" w:rsidR="00FE7E93" w:rsidRPr="00D82A90" w:rsidRDefault="001D35B9" w:rsidP="0039438D">
      <w:pPr>
        <w:pStyle w:val="BulkofText"/>
      </w:pPr>
      <w:r w:rsidRPr="001D35B9">
        <w:t>Intertidal communities in the Gulf of Maine are experiencing rapid change, including changes in vertical zonation and introduction of invasive and range expanding species (Co</w:t>
      </w:r>
      <w:r w:rsidR="0030622F">
        <w:fldChar w:fldCharType="begin"/>
      </w:r>
      <w:r w:rsidR="0030622F">
        <w:instrText xml:space="preserve"> ADDIN ZOTERO_ITEM CSL_CITATION {"citationID":"yDSS7mC7","properties":{"formattedCitation":"(Trott 2022)","plainCitation":"(Trott 2022)","noteIndex":0},"citationItems":[{"id":200,"uris":["http://zotero.org/users/13044088/items/Z2L34V6N"],"itemData":{"id":200,"type":"article-journal","abstract":"Community similarity among macroinvertebrate species assemblages from 12 exposed rocky headlands surveyed in 2004, 2007, and 2012 was examined to resolve mesoscale patterns along an east–west linear distance of 366 km in the coastal Gulf of Maine. The goals were: (1) detect latitudinal patterns of species assemblage similarity and (2) relate species assemblage similarities to environmental factors. Assemblage similarities were correlated with latitude. There was a distinguishable grouping of sampling sites fitting two Gulf regions that separate at mid-coast Maine. This pattern was uniquely intertidal and not shown by subtidal species assemblages. β diversity was high, did not differ between regions, and species turnover accounted for 91% of it. Molluscs and crustaceans, major components of surveyed communities, contributed most of the dissimilarity between regions. Satellite-derived shore and sea surface temperatures explained a significant amount of the variation responsible for producing regional patterns. The regions corresponded with the two principal branches of the Gulf of Maine Coastal Current. These hydrographic features and associated environmental conditions are hypothesized to influence community dynamics and shape the dissimilarity between Gulf regions. The predicted warming of the Gulf of Maine portend change in species turnover from species invasions and range shifts potentially altering rocky intertidal community patterns.","container-title":"Diversity","DOI":"10.3390/d14070557","ISSN":"1424-2818","issue":"7","language":"en","license":"http://creativecommons.org/licenses/by/3.0/","note":"number: 7\npublisher: Multidisciplinary Digital Publishing Institute","page":"557","source":"www.mdpi.com","title":"Mesoscale Spatial Patterns of Gulf of Maine Rocky Intertidal Communities","volume":"14","author":[{"family":"Trott","given":"Thomas J."}],"issued":{"date-parts":[["2022",7]]}}}],"schema":"https://github.com/citation-style-language/schema/raw/master/csl-citation.json"} </w:instrText>
      </w:r>
      <w:r w:rsidR="0030622F">
        <w:fldChar w:fldCharType="separate"/>
      </w:r>
      <w:r w:rsidR="0030622F" w:rsidRPr="0030622F">
        <w:t>(Trott 2022)</w:t>
      </w:r>
      <w:r w:rsidR="0030622F">
        <w:fldChar w:fldCharType="end"/>
      </w:r>
      <w:r w:rsidRPr="001D35B9">
        <w:t xml:space="preserve">hen et al. 1995, Yamada 2001, Epifanio 2013, Johnson 2015, Cheng et al. 2025). These changes may compound over time into significant changes to community structure. </w:t>
      </w:r>
      <w:r>
        <w:t>Perennial a</w:t>
      </w:r>
      <w:r w:rsidRPr="001D35B9">
        <w:t>lgal species including</w:t>
      </w:r>
      <w:r>
        <w:t>,</w:t>
      </w:r>
      <w:r w:rsidRPr="001D35B9">
        <w:t xml:space="preserve"> </w:t>
      </w:r>
      <w:r w:rsidRPr="001D35B9">
        <w:rPr>
          <w:i/>
          <w:iCs/>
        </w:rPr>
        <w:t xml:space="preserve">Fucus </w:t>
      </w:r>
      <w:r>
        <w:rPr>
          <w:i/>
          <w:iCs/>
        </w:rPr>
        <w:t>vesiculosus</w:t>
      </w:r>
      <w:r w:rsidRPr="001D35B9">
        <w:t xml:space="preserve"> </w:t>
      </w:r>
      <w:r>
        <w:t>a</w:t>
      </w:r>
      <w:r w:rsidRPr="001D35B9">
        <w:t xml:space="preserve">nd </w:t>
      </w:r>
      <w:r w:rsidRPr="001D35B9">
        <w:rPr>
          <w:i/>
          <w:iCs/>
        </w:rPr>
        <w:t>Ascophyllum nodosum</w:t>
      </w:r>
      <w:r>
        <w:rPr>
          <w:i/>
          <w:iCs/>
        </w:rPr>
        <w:t xml:space="preserve"> </w:t>
      </w:r>
      <w:r>
        <w:rPr>
          <w:i/>
          <w:iCs/>
        </w:rPr>
        <w:fldChar w:fldCharType="begin"/>
      </w:r>
      <w:r w:rsidR="00FC5CA0">
        <w:rPr>
          <w:i/>
          <w:iCs/>
        </w:rPr>
        <w:instrText xml:space="preserve"> ADDIN ZOTERO_ITEM CSL_CITATION {"citationID":"ru11bs8M","properties":{"formattedCitation":"(Linnaeus 1753)","plainCitation":"(Linnaeus 1753)","noteIndex":0},"citationItems":[{"id":219,"uris":["http://zotero.org/users/13044088/items/IV9GCPI6"],"itemData":{"id":219,"type":"chapter","note":"DOI: 10.5962/bhl.title.59734","title":"Species plantarum, exhibentes plantas rite cognitas ad genera relatas cum differentiis specificis, nominibus trivialibus, synonymis selectis, locis natalibus, secundum systema sexuale digestas. Vol 1.","URL":"https://www.biodiversitylibrary.org/page/358012","author":[{"family":"Linnaeus","given":"C"}],"accessed":{"date-parts":[["2025",7,24]]},"issued":{"date-parts":[["1753"]]}}}],"schema":"https://github.com/citation-style-language/schema/raw/master/csl-citation.json"} </w:instrText>
      </w:r>
      <w:r>
        <w:rPr>
          <w:i/>
          <w:iCs/>
        </w:rPr>
        <w:fldChar w:fldCharType="separate"/>
      </w:r>
      <w:r w:rsidR="00FC5CA0" w:rsidRPr="00FC5CA0">
        <w:t>(Linnaeus 1753)</w:t>
      </w:r>
      <w:r>
        <w:rPr>
          <w:i/>
          <w:iCs/>
        </w:rPr>
        <w:fldChar w:fldCharType="end"/>
      </w:r>
      <w:r w:rsidRPr="001D35B9">
        <w:t xml:space="preserve">, </w:t>
      </w:r>
      <w:r>
        <w:t xml:space="preserve">are subject to escalating stress and competition in the Gulf of Maine. As keystone species, </w:t>
      </w:r>
      <w:r>
        <w:rPr>
          <w:i/>
          <w:iCs/>
        </w:rPr>
        <w:t xml:space="preserve">F. vesiculosus </w:t>
      </w:r>
      <w:r>
        <w:t xml:space="preserve">and </w:t>
      </w:r>
      <w:r>
        <w:rPr>
          <w:i/>
          <w:iCs/>
        </w:rPr>
        <w:t>A. nodosum</w:t>
      </w:r>
      <w:r>
        <w:t xml:space="preserve"> contribute disproportionately to the functioning of the ecosystem than their abundance would </w:t>
      </w:r>
      <w:r w:rsidR="0030622F">
        <w:t>imply</w:t>
      </w:r>
      <w:r>
        <w:t>,</w:t>
      </w:r>
      <w:r>
        <w:rPr>
          <w:i/>
          <w:iCs/>
        </w:rPr>
        <w:t xml:space="preserve"> </w:t>
      </w:r>
      <w:r>
        <w:t>as they create</w:t>
      </w:r>
      <w:r w:rsidRPr="001D35B9">
        <w:t xml:space="preserve"> </w:t>
      </w:r>
      <w:r>
        <w:t>habitable space for motile and sessile invertebrates, epiphytes, and other macroalgae</w:t>
      </w:r>
      <w:r w:rsidR="00FC5CA0" w:rsidRPr="00D82A90">
        <w:t>.</w:t>
      </w:r>
      <w:r w:rsidR="00FC5CA0">
        <w:t xml:space="preserve"> </w:t>
      </w:r>
      <w:r>
        <w:fldChar w:fldCharType="begin"/>
      </w:r>
      <w:r w:rsidR="00FC5CA0">
        <w:instrText xml:space="preserve"> ADDIN ZOTERO_ITEM CSL_CITATION {"citationID":"pnukh3mL","properties":{"formattedCitation":"(Dayton 1972, R\\uc0\\u229{}berg and Kautsky 2007, Parrot et al. 2019, Westerbom and Koivisto 2022)","plainCitation":"(Dayton 1972, Råberg and Kautsky 2007, Parrot et al. 2019, Westerbom and Koivisto 2022)","noteIndex":0},"citationItems":[{"id":247,"uris":["http://zotero.org/users/13044088/items/SNURKTED"],"itemData":{"id":247,"type":"paper-conference","container-title":"Proceedings of the colloquium on conservation problems in Antarctica","publisher":"Allen Press Lawrence, KS","source":"Google Scholar","title":"Toward an understanding of community resilience and the potential effects of enrichments to the benthos at McMurdo Sound, Antarctica","URL":"https://scholar.google.com/scholar?cluster=8257383188966982563&amp;hl=en&amp;oi=scholarr","volume":"96","author":[{"family":"Dayton","given":"Paul K."}],"accessed":{"date-parts":[["2025",8,24]]},"issued":{"date-parts":[["1972"]]}}},{"id":190,"uris":["http://zotero.org/users/13044088/items/KZH5L7WQ"],"itemData":{"id":190,"type":"article-journal","abstract":"Anthropogenic activities worldwide have contributed to vegetation changes in many coastal areas, changes that may in turn affect faunal and algal assemblages in the involved ecosystems. In the northernmost part of the Baltic Sea the salinity is extremely low (3–4) and the only structurally complex alga present is Fucus radicans. Since in this area F. radicans is living at its salinity tolerance limit, it is potentially very sensitive to environmental changes. Any change in salinity could thus alter the overall algal community, changing it to one dominated solely by filamentous algae. To determine the importance of F. radicans to the associated faunal community, we examined differences between the 2 main vegetation types present, i.e., F. radicans and filamentous algae, in the Kronören marine reserve in the northernmost part of the Baltic Sea. A similar study was conducted in the Askö area in the northern Baltic Proper, where the more-investigated Fucus vesiculosus is the only large fucoid present. The biomass of associated fauna was significantly higher in both the F. radicans and F. vesiculosus than in the filamentous algal vegetation at some, but not all, sites. The F. radicans community also displayed a greater diversity of associated fauna in 3 of 5 investigated Kronören sites, whereas no difference in diversity was detected between F. vesiculosus and the filamentous algal vegetations in the Askö sites. Furthermore, the F. radicans community displayed a different faunal community, being the only investigated algal community with a faunal community dominated by K-strategy species, according to abundance–biomass comparison curves. This pattern may be due to the low epiphytic load on these Fucus plants. In contrast, the F. vesiculosus community, as well as the algal communities with no Fucus in both areas, had high biomasses of filamentous algae and an invertebrate fauna dominated by Chironomidae, occurring in great abundance but only with a low biomass. ANOSIM analyses of faunal composition demonstrated a significant difference between the 2 vegetation types in both areas, largely due to greater abundance of Gammarus spp. and Theodoxus fluviatilis in the fucoid vegetation. Differences observed between the F. radicans and filamentous algal vegetation types were generally more pronounced than those between F. vesiculosus and nearby filamentous algal vegetation. These observations may be due to abiotic factors that differ between the 2 investigated areas, factors such as depth distribution, wave action and eutrophication level. This study has demonstrated that the less-investigated F. radicans may be as important as the larger F. vesiculosus for the associated faunal assemblages. At the same time, the limited extent of F. radicans at shallower depths makes F. radicans vegetation potentially more vulnerable to anthropogenic changes, as declines in fucoid vegetation are usually first manifested in populations at their lower depth limits, whereas shallow populations are less affected.","container-title":"Estuarine, Coastal and Shelf Science","DOI":"10.1016/j.ecss.2007.01.005","ISSN":"0272-7714","issue":"1","journalAbbreviation":"Estuarine, Coastal and Shelf Science","page":"249-258","source":"ScienceDirect","title":"A comparative biodiversity study of the associated fauna of perennial fucoids and filamentous algae","volume":"73","author":[{"family":"Råberg","given":"Sonja"},{"family":"Kautsky","given":"Lena"}],"issued":{"date-parts":[["2007",6,1]]}}},{"id":244,"uris":["http://zotero.org/users/13044088/items/H69E5AG4"],"itemData":{"id":244,"type":"article-journal","abstract":"The brown alga Fucus vesiculosus is a keystone marine species, which is subject to heavy surface colonisation. This study was designed to analyse the surface epibiome of F. vesiculosus in conjunction with the composition and spatial distribution of its surface metabolome. The amplicon sequencing, SEM and CARD-FISH imaging studies showed Alphaproteobacteria to predominate the epibiotic bacteria. Fungi of the class Eurotiomycetes were visualised for the first time on an algal surface. An untargeted metabolomics approach using molecular networks, in silico prediction and manual dereplication showed the differential metabolome of the surface and the whole tissue extracts. In total, 50 compounds were putatively dereplicated by UPLC-MS/MS, 37 of which were previously reported from both seaweeds and microorganisms. Untargeted spatial metabolomics by DESI-Imaging MS identified the specific localisation and distribution of various primary and secondary metabolites on surface imprints and in algal cross sections. The UPLC-MS, DESI-IMS and NMR analyses failed to confirm the presence of any surface-associated metabolite, except for mannitol, which were previously reported from F. vesiculosus. This is the first study analysing the seaweed surface microbiome in conjunction with untargeted surface metabolomics and spatial metabolomics approaches.","container-title":"Scientific Reports","DOI":"10.1038/s41598-018-37914-8","ISSN":"2045-2322","issue":"1","journalAbbreviation":"Sci Rep","language":"en","license":"2019 The Author(s)","note":"publisher: Nature Publishing Group","page":"1061","source":"www.nature.com","title":"Mapping the Surface Microbiome and Metabolome of Brown Seaweed Fucus vesiculosus by Amplicon Sequencing, Integrated Metabolomics and Imaging Techniques","volume":"9","author":[{"family":"Parrot","given":"Delphine"},{"family":"Blümel","given":"Martina"},{"family":"Utermann","given":"Caroline"},{"family":"Chianese","given":"Giuseppina"},{"family":"Krause","given":"Stefan"},{"family":"Kovalev","given":"Alexander"},{"family":"Gorb","given":"Stanislav N."},{"family":"Tasdemir","given":"Deniz"}],"issued":{"date-parts":[["2019",1,31]]}}},{"id":188,"uris":["http://zotero.org/users/13044088/items/FQM5QF3A"],"itemData":{"id":188,"type":"article-journal","abstract":"Understanding the influence of biogenic habitats on species assemblage structure and ecosystem productivity is crucial for successful conservation of natural systems. Brown algae, Fucus vesiculosus, and blue mussels, Mytilus trossulus, coexist on sheltered and moderately wave exposed shallow rocky reefs of the northern Baltic Proper. Here, they function as important biogenic structures for an abundant associated macroinvertebrate fauna. Despite their dominance and space sympatry, there is little understanding of how they differ in their role as provisioners of biodiversity in this system. While Fucus has been recognized as an important habitat provider for decades, the similar role of blue mussels has been seriously understudied in the northern Baltic Proper, leading to pressing knowledge gaps and an underestimation of their role for overall biodiversity. In this study, we compared macroinvertebrate species assemblages within 40 rocky reefs where Fucus and Mytilus co-occur in either intermixed or adjacent assemblages. We show that both habitats represent a species rich and abundant community that are comparable regarding diversity. However, abundance and biomass of the associated community is much higher in the Mytilus habitat in relation to the Fucus habitat, implying a far higher secondary production in the former habitat. Recognizing key habitats and understanding how they differ in their ability to support biodiversity and ecosystem productivity is necessary for predicting community responses to human pressures, including an altered climate, and for implementing efficient mitigation actions to minimise loss of biodiversity.","container-title":"Frontiers in Marine Science","DOI":"10.3389/fmars.2022.929899","ISSN":"2296-7745","journalAbbreviation":"Front. Mar. Sci.","language":"English","note":"publisher: Frontiers","source":"Frontiers","title":"Mussels and canopy-forming algae as ecosystem engineers: their contribution to community organization in the rocky sublittoral","title-short":"Mussels and canopy-forming algae as ecosystem engineers","URL":"https://www.frontiersin.org/journals/marine-science/articles/10.3389/fmars.2022.929899/full","volume":"9","author":[{"family":"Westerbom","given":"Mats"},{"family":"Koivisto","given":"Maria"}],"accessed":{"date-parts":[["2025",7,15]]},"issued":{"date-parts":[["2022",8,4]]}}}],"schema":"https://github.com/citation-style-language/schema/raw/master/csl-citation.json"} </w:instrText>
      </w:r>
      <w:r>
        <w:fldChar w:fldCharType="separate"/>
      </w:r>
      <w:r w:rsidR="00FC5CA0" w:rsidRPr="00FC5CA0">
        <w:t>(Dayton 1972, Råberg and Kautsky 2007, Parrot et al. 2019, Westerbom and Koivisto 2022)</w:t>
      </w:r>
      <w:r>
        <w:fldChar w:fldCharType="end"/>
      </w:r>
      <w:r>
        <w:t>.</w:t>
      </w:r>
      <w:r w:rsidRPr="001D35B9">
        <w:t xml:space="preserve"> Because of this and the importance of these ecosystems ecologically and as a source of ecosystem services, including as interpretive spaces in National Parks, it is important that we understand what the future holds for </w:t>
      </w:r>
      <w:r w:rsidR="00FC5CA0">
        <w:rPr>
          <w:i/>
          <w:iCs/>
        </w:rPr>
        <w:t xml:space="preserve">Fucus and Ascophyllum </w:t>
      </w:r>
      <w:r w:rsidR="00FC5CA0">
        <w:t>in the</w:t>
      </w:r>
      <w:r w:rsidRPr="001D35B9">
        <w:t xml:space="preserve"> rocky intertidal </w:t>
      </w:r>
      <w:r w:rsidR="00FC5CA0">
        <w:t>o</w:t>
      </w:r>
      <w:r w:rsidRPr="001D35B9">
        <w:t>n the Gulf of Maine, and which factors contribute most to that future.</w:t>
      </w:r>
    </w:p>
    <w:p w14:paraId="4CBDC2CC" w14:textId="2784137E" w:rsidR="00C06613" w:rsidRPr="005C6FCA" w:rsidRDefault="00C06613" w:rsidP="005C6FCA">
      <w:pPr>
        <w:pStyle w:val="Heading2"/>
      </w:pPr>
      <w:r w:rsidRPr="005C6FCA">
        <w:t>Research Question and Hypothesis</w:t>
      </w:r>
    </w:p>
    <w:p w14:paraId="29FE2063" w14:textId="46CB1CF1" w:rsidR="00C06613" w:rsidRPr="00D82A90" w:rsidRDefault="00C06613" w:rsidP="0039438D">
      <w:pPr>
        <w:pStyle w:val="BulkofText"/>
      </w:pPr>
      <w:r w:rsidRPr="00D82A90">
        <w:t>The primary research question posed by this analysis i</w:t>
      </w:r>
      <w:r w:rsidR="00425093" w:rsidRPr="00D82A90">
        <w:t>s</w:t>
      </w:r>
      <w:r w:rsidRPr="00D82A90">
        <w:t xml:space="preserve">: can we accurately predict how the community assemblage of the rocky intertidal in Acadia National Park will change in the near future, and what variables (including </w:t>
      </w:r>
      <w:r w:rsidR="00DB1E27">
        <w:t>substrate composition</w:t>
      </w:r>
      <w:r w:rsidRPr="00D82A90">
        <w:t xml:space="preserve">, </w:t>
      </w:r>
      <w:r w:rsidR="00DB1E27">
        <w:t>invertebrate</w:t>
      </w:r>
      <w:r w:rsidRPr="00D82A90">
        <w:t xml:space="preserve"> abundance, and temperature) are the strongest predictors of that. While long-term monitoring has been </w:t>
      </w:r>
      <w:r w:rsidRPr="00D82A90">
        <w:lastRenderedPageBreak/>
        <w:t>ongoing through the Northeast Temperate Network (NETN) in the Inventory and Monitoring Division of the National Park Service (NPS) since 2013, no significant analysis has been done on this subject</w:t>
      </w:r>
      <w:r w:rsidR="00425093" w:rsidRPr="00D82A90">
        <w:t xml:space="preserve"> since that protocol began.</w:t>
      </w:r>
    </w:p>
    <w:p w14:paraId="000D0C6B" w14:textId="2151BB18" w:rsidR="00796C0F" w:rsidRPr="00D82A90" w:rsidRDefault="00425093" w:rsidP="0039438D">
      <w:pPr>
        <w:pStyle w:val="BulkofText"/>
      </w:pPr>
      <w:r w:rsidRPr="00D82A90">
        <w:t xml:space="preserve">I hypothesize that </w:t>
      </w:r>
      <w:r w:rsidR="00323D73">
        <w:t>the</w:t>
      </w:r>
      <w:r w:rsidRPr="00D82A90">
        <w:t xml:space="preserve"> </w:t>
      </w:r>
      <w:r w:rsidR="00DB1E27" w:rsidRPr="00D82A90">
        <w:t xml:space="preserve">presence and abundance of motile invertebrates </w:t>
      </w:r>
      <w:r w:rsidRPr="00D82A90">
        <w:t>will significantly predict the</w:t>
      </w:r>
      <w:r w:rsidR="00DB1E27">
        <w:t xml:space="preserve"> substrate percent cover of </w:t>
      </w:r>
      <w:r w:rsidR="00DB1E27" w:rsidRPr="00D82A90">
        <w:rPr>
          <w:i/>
          <w:iCs/>
        </w:rPr>
        <w:t>F</w:t>
      </w:r>
      <w:r w:rsidR="00323D73">
        <w:rPr>
          <w:i/>
          <w:iCs/>
        </w:rPr>
        <w:t>.</w:t>
      </w:r>
      <w:r w:rsidR="00DB1E27" w:rsidRPr="00D82A90">
        <w:rPr>
          <w:i/>
          <w:iCs/>
        </w:rPr>
        <w:t xml:space="preserve"> </w:t>
      </w:r>
      <w:r w:rsidR="00393964">
        <w:rPr>
          <w:i/>
          <w:iCs/>
        </w:rPr>
        <w:t>vesiculosus</w:t>
      </w:r>
      <w:r w:rsidR="00DB1E27">
        <w:t xml:space="preserve"> and</w:t>
      </w:r>
      <w:r w:rsidR="00DB1E27" w:rsidRPr="00D82A90">
        <w:t xml:space="preserve"> </w:t>
      </w:r>
      <w:r w:rsidR="00DB1E27" w:rsidRPr="00D82A90">
        <w:rPr>
          <w:i/>
          <w:iCs/>
        </w:rPr>
        <w:t>A</w:t>
      </w:r>
      <w:r w:rsidR="00323D73">
        <w:rPr>
          <w:i/>
          <w:iCs/>
        </w:rPr>
        <w:t>.</w:t>
      </w:r>
      <w:r w:rsidR="00DB1E27" w:rsidRPr="00D82A90">
        <w:rPr>
          <w:i/>
          <w:iCs/>
        </w:rPr>
        <w:t xml:space="preserve"> </w:t>
      </w:r>
      <w:r w:rsidR="00393964">
        <w:rPr>
          <w:i/>
          <w:iCs/>
        </w:rPr>
        <w:t>nodosum</w:t>
      </w:r>
      <w:r w:rsidR="00FA2B73">
        <w:rPr>
          <w:i/>
          <w:iCs/>
        </w:rPr>
        <w:t xml:space="preserve"> </w:t>
      </w:r>
      <w:r w:rsidRPr="00D82A90">
        <w:t xml:space="preserve">in the Acadia rocky intertidal over time. </w:t>
      </w:r>
    </w:p>
    <w:p w14:paraId="7D477071" w14:textId="578345AF" w:rsidR="00425093" w:rsidRPr="00D82A90" w:rsidRDefault="00425093" w:rsidP="0039438D">
      <w:pPr>
        <w:pStyle w:val="BulkofText"/>
      </w:pPr>
      <w:r w:rsidRPr="00D82A90">
        <w:t xml:space="preserve">I predict that an increase in </w:t>
      </w:r>
      <w:r w:rsidR="00FA2B73" w:rsidRPr="00D82A90">
        <w:t xml:space="preserve">the abundance of motile invertebrates </w:t>
      </w:r>
      <w:r w:rsidR="00FA2B73" w:rsidRPr="00D82A90">
        <w:rPr>
          <w:i/>
          <w:iCs/>
        </w:rPr>
        <w:t>Littorina obtusata</w:t>
      </w:r>
      <w:r w:rsidR="00FA2B73">
        <w:t xml:space="preserve"> will be associated with a significant reduction in the </w:t>
      </w:r>
      <w:r w:rsidRPr="00D82A90">
        <w:t>algal cover</w:t>
      </w:r>
      <w:r w:rsidR="00FA2B73">
        <w:t xml:space="preserve"> of </w:t>
      </w:r>
      <w:r w:rsidR="00FA2B73">
        <w:rPr>
          <w:i/>
          <w:iCs/>
        </w:rPr>
        <w:t xml:space="preserve">F. vesiculosus </w:t>
      </w:r>
      <w:r w:rsidR="00FA2B73">
        <w:t xml:space="preserve">and </w:t>
      </w:r>
      <w:r w:rsidR="00FA2B73">
        <w:rPr>
          <w:i/>
          <w:iCs/>
        </w:rPr>
        <w:t>A. nodosum</w:t>
      </w:r>
      <w:r w:rsidR="00FA2B73">
        <w:t xml:space="preserve">, as these periwinkles have been shown to feed on both of these species </w:t>
      </w:r>
      <w:r w:rsidR="00FA2B73">
        <w:fldChar w:fldCharType="begin"/>
      </w:r>
      <w:r w:rsidR="0060462D">
        <w:instrText xml:space="preserve"> ADDIN ZOTERO_ITEM CSL_CITATION {"citationID":"Qpk3iTQd","properties":{"formattedCitation":"(Hadlock 1979, Watson and Norton 1987)","plainCitation":"(Hadlock 1979, Watson and Norton 1987)","noteIndex":0},"citationItems":[{"id":221,"uris":["http://zotero.org/users/13044088/items/PLELCQID"],"itemData":{"id":221,"type":"thesis","event-place":"Kingston, RI","genre":"Master's thesis","publisher":"Department of Zoology, University of Rhode Island","publisher-place":"Kingston, RI","title":"The distribution of Littorina obtusata (L.) in the rocky intertidal: effects of competition with Littorina littorea (L.)","author":[{"family":"Hadlock","given":"R. H."}],"issued":{"date-parts":[["1979"]]}}},{"id":220,"uris":["http://zotero.org/users/13044088/items/TCGYILPE"],"itemData":{"id":220,"type":"article-journal","abstract":"The vertical zonation of the flat periwinkles Littorina obtusata (L.) and L. mariae Sacchi et Rastelli is different, but overlaps. At a sheltered location on the Isle of Cumbrae, Scotland, L. obtusata, although most abundant on Fucus vesiculosus L. and Ascophyllum nodosum (L.) Le Jol. on the midshore, ranged over the entire shore from the Pelvetia zone down to the upper limits of Laminaria. Littorina mariae exhibited a much more restricted distribution being associated predominantly with Fucus serratus L. on the lower shore. In laboratory trials with adult plants, flat periwinkles found fucoid algae both more attractive and more palatable than other seaweeds. Littorina obtusata also preferred the reproductive receptacles of fucoid algae to their vegetative tissue. Tiny germlings of a diversity of seaweeds were readily consumed by L. obtusata. In choice experiments germling Ulva lactuca L. was preferred to adult U. lactuca, whereas adult Fucus serratus was preferred to germling F. serratus. Contrasting foraging behaviours between different species of flat periwinkle are discussed in relation to differences in their radular dentition.","container-title":"Journal of Experimental Marine Biology and Ecology","DOI":"10.1016/S0022-0981(87)80015-1","ISSN":"0022-0981","issue":"1","journalAbbreviation":"Journal of Experimental Marine Biology and Ecology","page":"61-72","title":"The habitat and feeding preferences of Littorina obtusata (L.) and L. mariae sacchi et rastelli","volume":"112","author":[{"family":"Watson","given":"David C."},{"family":"Norton","given":"Trevor A."}],"issued":{"date-parts":[["1987",9,24]]}}}],"schema":"https://github.com/citation-style-language/schema/raw/master/csl-citation.json"} </w:instrText>
      </w:r>
      <w:r w:rsidR="00FA2B73">
        <w:fldChar w:fldCharType="separate"/>
      </w:r>
      <w:r w:rsidR="0060462D" w:rsidRPr="0060462D">
        <w:t>(Hadlock 1979, Watson and Norton 1987)</w:t>
      </w:r>
      <w:r w:rsidR="00FA2B73">
        <w:fldChar w:fldCharType="end"/>
      </w:r>
      <w:r w:rsidRPr="00D82A90">
        <w:t xml:space="preserve">. </w:t>
      </w:r>
      <w:r w:rsidR="0060462D">
        <w:t xml:space="preserve">I predict that </w:t>
      </w:r>
      <w:r w:rsidR="0060462D">
        <w:rPr>
          <w:i/>
          <w:iCs/>
        </w:rPr>
        <w:t xml:space="preserve">Littorina littorea </w:t>
      </w:r>
      <w:r w:rsidR="0060462D">
        <w:t xml:space="preserve">abundance will not significantly predict the </w:t>
      </w:r>
      <w:r w:rsidR="0060462D" w:rsidRPr="00D82A90">
        <w:t>algal cover</w:t>
      </w:r>
      <w:r w:rsidR="0060462D">
        <w:t xml:space="preserve"> of </w:t>
      </w:r>
      <w:r w:rsidR="0060462D">
        <w:rPr>
          <w:i/>
          <w:iCs/>
        </w:rPr>
        <w:t xml:space="preserve">F. vesiculosus </w:t>
      </w:r>
      <w:r w:rsidR="0060462D">
        <w:t xml:space="preserve">and </w:t>
      </w:r>
      <w:r w:rsidR="0060462D">
        <w:rPr>
          <w:i/>
          <w:iCs/>
        </w:rPr>
        <w:t>A. nodosum</w:t>
      </w:r>
      <w:r w:rsidR="0060462D">
        <w:t xml:space="preserve">, as this species has been shown to avoid feeding on these species </w:t>
      </w:r>
      <w:r w:rsidR="0060462D">
        <w:fldChar w:fldCharType="begin"/>
      </w:r>
      <w:r w:rsidR="0060462D">
        <w:instrText xml:space="preserve"> ADDIN ZOTERO_ITEM CSL_CITATION {"citationID":"Kw9qdoaK","properties":{"formattedCitation":"(Watson and Norton 1985)","plainCitation":"(Watson and Norton 1985)","noteIndex":0},"citationItems":[{"id":73,"uris":["http://zotero.org/users/13044088/items/89Y3UHRT"],"itemData":{"id":73,"type":"article-journal","abstract":"In gustatory choice experiments with mature macroalgae, grazing by the common periwinkle, Littorina littorea (L.), was highly selective in favour of the foliose ephemeral green algae, Ulva lactuca L. and Enteromorpha intestinalis (L.) Link. The fucoid, Ascophyllum nodosum (L.) Le Jol., and the calcareous red alga, Corallina officinalis L., were rejected even under conditions of considerable nutritional duress. Results of attractiveness trials were similar, emphasizing the important selective rôle of gustatory considerations. Macroalgal edibility was not influenced by a prolonged period of starvation or by enforced habituation to a non-preferred species. There was, however, some evidence to suggest that previous feeding experience altered algal attractiveness significantly, prompting less discriminate feeding. A high degree of selectivity was also apparent for algal germlings. Lawns of germling Ulva lactuca and Enteromorpha intestinalis were strongly preferred to juvenile Mastocarpus stellatus (Stackh.) Guiry (= Gigartina stellata (Stackh.) Batt.), Fucus serratus L. and especially Ascophyllum nodosum. Consistent preferences were displayed for adult over juvenile Ulva lactuca and for juvenile rather than adult Fucus serratus. Experimental examination Littorina littorea microdistribution on the mid-and lower shore reveals that, at sheltered sites, individuals forage predominantly on the rock surface and amongst the understorey of ephemeral algae. Higher up the shore and at exposed sites cast-up “drift” seaweeds assume an important dietary rôle. In controlled population experiments on the shore, Ascophyllum nodosum was not grazed. Consequently, this species cannot be considered a potential food source for Littorina littorea, even on those regions of the shore where it may constitute the only macroalgal cover.","container-title":"Journal of Experimental Marine Biology and Ecology","DOI":"10.1016/0022-0981(85)90230-8","ISSN":"0022-0981","issue":"3","journalAbbreviation":"Journal of Experimental Marine Biology and Ecology","language":"en","page":"193-211","source":"ScienceDirect","title":"Dietary preferences of the common periwinkle, Littorinalittorea (L.)","volume":"88","author":[{"family":"Watson","given":"David C."},{"family":"Norton","given":"Trevor A."}],"issued":{"date-parts":[["1985",6,24]]}}}],"schema":"https://github.com/citation-style-language/schema/raw/master/csl-citation.json"} </w:instrText>
      </w:r>
      <w:r w:rsidR="0060462D">
        <w:fldChar w:fldCharType="separate"/>
      </w:r>
      <w:r w:rsidR="0060462D" w:rsidRPr="0060462D">
        <w:t>(Watson and Norton 1985)</w:t>
      </w:r>
      <w:r w:rsidR="0060462D">
        <w:fldChar w:fldCharType="end"/>
      </w:r>
      <w:r w:rsidR="0060462D">
        <w:t xml:space="preserve">. </w:t>
      </w:r>
      <w:r w:rsidRPr="00D82A90">
        <w:t xml:space="preserve">I predict that increased </w:t>
      </w:r>
      <w:r w:rsidR="0060462D" w:rsidRPr="00D82A90">
        <w:t>temperatures</w:t>
      </w:r>
      <w:r w:rsidRPr="00D82A90">
        <w:t xml:space="preserve"> will be correlated with a decrease in </w:t>
      </w:r>
      <w:r w:rsidR="00FA2B73">
        <w:rPr>
          <w:i/>
          <w:iCs/>
        </w:rPr>
        <w:t xml:space="preserve">F. vesiculosus and A. </w:t>
      </w:r>
      <w:r w:rsidR="00393964">
        <w:rPr>
          <w:i/>
          <w:iCs/>
        </w:rPr>
        <w:t>nodosum</w:t>
      </w:r>
      <w:r w:rsidR="00FA2B73">
        <w:rPr>
          <w:i/>
          <w:iCs/>
        </w:rPr>
        <w:t xml:space="preserve"> </w:t>
      </w:r>
      <w:r w:rsidR="00FA2B73">
        <w:t>in the higher plots, and an increase in both target species in the lower plots (i.e., the red algae plots)</w:t>
      </w:r>
      <w:r w:rsidR="0060462D">
        <w:t xml:space="preserve">; these species have been shown to expand their range as waters warm </w:t>
      </w:r>
      <w:r w:rsidR="00393964">
        <w:fldChar w:fldCharType="begin"/>
      </w:r>
      <w:r w:rsidR="00393964">
        <w:instrText xml:space="preserve"> ADDIN ZOTERO_ITEM CSL_CITATION {"citationID":"teiYAENV","properties":{"formattedCitation":"(Jueterbock et al. 2013, Marb\\uc0\\u224{} et al. 2017)","plainCitation":"(Jueterbock et al. 2013, Marbà et al. 2017)","noteIndex":0},"citationItems":[{"id":222,"uris":["http://zotero.org/users/13044088/items/FL7ZP8MT"],"itemData":{"id":222,"type":"article-journal","abstract":"The North-Atlantic has warmed faster than all other ocean basins and climate change scenarios predict sea surface temperature isotherms to shift up to 600 km  northwards by the end of the 21st century. The pole-ward shift has already begun  for many temperate seaweed species that are important intertidal foundation  species. We asked the question: Where will climate change have the greatest  impact on three foundational, macroalgal species that occur along North-Atlantic  shores: Fucus serratus, Fucus vesiculosus, and Ascophyllum nodosum? To predict  distributional changes of these key species under three IPCC (Intergovernmental  Panel on Climate Change) climate change scenarios (A2, A1B, and B1) over the  coming two centuries, we generated Ecological Niche Models with the program  MAXENT. Model predictions suggest that these three species will shift northwards  as an assemblage or \"unit\" and that phytogeographic changes will be most  pronounced in the southern Arctic and the southern temperate provinces. Our  models predict that Arctic shores in Canada, Greenland, and Spitsbergen will  become suitable for all three species by 2100. Shores south of 45° North will  become unsuitable for at least two of the three focal species on both the  Northwest- and Northeast-Atlantic coasts by 2200. If these foundational species  are unable to adapt to the rising temperatures, they will lose their centers of  genetic diversity and their loss will trigger an unpredictable shift in the  North-Atlantic intertidal ecosystem.","container-title":"Ecology and evolution","DOI":"10.1002/ece3.541","ISSN":"2045-7758","issue":"5","journalAbbreviation":"Ecol Evol","language":"eng","note":"publisher-place: England\nPMID: 23762521 \nPMCID: PMC3678489","page":"1356-1373","title":"Climate change impact on seaweed meadow distribution in the North Atlantic rocky intertidal.","volume":"3","author":[{"family":"Jueterbock","given":"Alexander"},{"family":"Tyberghein","given":"Lennert"},{"family":"Verbruggen","given":"Heroen"},{"family":"Coyer","given":"James A."},{"family":"Olsen","given":"Jeanine L."},{"family":"Hoarau","given":"Galice"}],"issued":{"date-parts":[["2013",5]]}}},{"id":223,"uris":["http://zotero.org/users/13044088/items/LYMHUVBV"],"itemData":{"id":223,"type":"article-journal","container-title":"Ambio","DOI":"10.1007/s13280-016-0873-7","ISSN":"0044-7447, 1654-7209","issue":"S1","language":"en","license":"http://creativecommons.org/licenses/by/4.0","note":"publisher: Springer Science and Business Media LLC","page":"119-131","source":"Crossref","title":"Climate change stimulates the growth of the intertidal macroalgae Ascophyllum nodosum near the northern distribution limit","volume":"46","author":[{"family":"Marbà","given":"Núria"},{"family":"Krause-Jensen","given":"Dorte"},{"family":"Olesen","given":"Birgit"},{"family":"Christensen","given":"Peter B."},{"family":"Merzouk","given":"Anissa"},{"family":"Rodrigues","given":"Joao"},{"family":"Wegeberg","given":"Susse"},{"family":"Wilce","given":"Robert T."}],"issued":{"date-parts":[["2017",2]]}}}],"schema":"https://github.com/citation-style-language/schema/raw/master/csl-citation.json"} </w:instrText>
      </w:r>
      <w:r w:rsidR="00393964">
        <w:fldChar w:fldCharType="separate"/>
      </w:r>
      <w:r w:rsidR="00393964" w:rsidRPr="00393964">
        <w:t>(Jueterbock et al. 2013, Marbà et al. 2017)</w:t>
      </w:r>
      <w:r w:rsidR="00393964">
        <w:fldChar w:fldCharType="end"/>
      </w:r>
      <w:r w:rsidR="0060462D">
        <w:t xml:space="preserve">, which may extend to their local </w:t>
      </w:r>
      <w:r w:rsidR="00393964">
        <w:t xml:space="preserve">zonation </w:t>
      </w:r>
      <w:r w:rsidR="0060462D">
        <w:t>range</w:t>
      </w:r>
      <w:r w:rsidR="00393964">
        <w:t xml:space="preserve"> as well</w:t>
      </w:r>
      <w:r w:rsidR="0060462D">
        <w:t>, expanding into deeper</w:t>
      </w:r>
      <w:r w:rsidR="00393964">
        <w:t xml:space="preserve"> water</w:t>
      </w:r>
      <w:r w:rsidR="0060462D">
        <w:t>.</w:t>
      </w:r>
    </w:p>
    <w:p w14:paraId="7CEA3F9C" w14:textId="65900BA2" w:rsidR="005006E3" w:rsidRPr="00CE295A" w:rsidRDefault="00425093" w:rsidP="000F08FF">
      <w:pPr>
        <w:pStyle w:val="Heading1"/>
        <w:spacing w:before="0"/>
      </w:pPr>
      <w:r>
        <w:t>Data</w:t>
      </w:r>
      <w:r w:rsidR="00FC5CA0">
        <w:t xml:space="preserve"> Description</w:t>
      </w:r>
    </w:p>
    <w:p w14:paraId="099E455A" w14:textId="29AAEF65" w:rsidR="00E24C6B" w:rsidRPr="005C6FCA" w:rsidRDefault="00425093" w:rsidP="005C6FCA">
      <w:pPr>
        <w:pStyle w:val="Heading2"/>
      </w:pPr>
      <w:r w:rsidRPr="005C6FCA">
        <w:t>Data Source</w:t>
      </w:r>
    </w:p>
    <w:p w14:paraId="5EF0308D" w14:textId="3FBE7087" w:rsidR="007720E3" w:rsidRDefault="00425093" w:rsidP="0039438D">
      <w:pPr>
        <w:pStyle w:val="BulkofText"/>
      </w:pPr>
      <w:r w:rsidRPr="00D82A90">
        <w:t xml:space="preserve">NETN </w:t>
      </w:r>
      <w:hyperlink r:id="rId8" w:history="1">
        <w:r w:rsidRPr="00D82A90">
          <w:rPr>
            <w:rStyle w:val="Hyperlink"/>
          </w:rPr>
          <w:t>has a</w:t>
        </w:r>
        <w:r w:rsidR="008C2B65" w:rsidRPr="00D82A90">
          <w:rPr>
            <w:rStyle w:val="Hyperlink"/>
          </w:rPr>
          <w:t xml:space="preserve"> dataset</w:t>
        </w:r>
      </w:hyperlink>
      <w:r w:rsidR="008C2B65" w:rsidRPr="00D82A90">
        <w:t xml:space="preserve"> spanning 8-years (2013 – 2021) of </w:t>
      </w:r>
      <w:r w:rsidR="00C15CC7">
        <w:t>long-term ecological monitoring data across six</w:t>
      </w:r>
      <w:r w:rsidR="008C2B65" w:rsidRPr="00D82A90">
        <w:t xml:space="preserve"> sites in Acadia</w:t>
      </w:r>
      <w:r w:rsidR="00C15CC7">
        <w:t>, as well as three sites in the Boston Harbor Islands National Park</w:t>
      </w:r>
      <w:r w:rsidR="008C2B65" w:rsidRPr="00D82A90">
        <w:t xml:space="preserve"> </w:t>
      </w:r>
      <w:r w:rsidR="008C2B65" w:rsidRPr="00D82A90">
        <w:fldChar w:fldCharType="begin"/>
      </w:r>
      <w:r w:rsidR="008C2B65" w:rsidRPr="00D82A90">
        <w:instrText xml:space="preserve"> ADDIN ZOTERO_ITEM CSL_CITATION {"citationID":"IsXNP9Ax","properties":{"formattedCitation":"(Northeast Temperate Network 2021)","plainCitation":"(Northeast Temperate Network 2021)","noteIndex":0},"citationItems":[{"id":58,"uris":["http://zotero.org/users/13044088/items/64HX7UH9"],"itemData":{"id":58,"type":"webpage","title":"Long-term Rocky Intertidal - Database","URL":"https://irma.nps.gov/DataStore/Reference/Profile/2289832","author":[{"family":"Northeast Temperate Network","given":""}],"accessed":{"date-parts":[["2023",4,24]]},"issued":{"date-parts":[["2021",1,1]]}}}],"schema":"https://github.com/citation-style-language/schema/raw/master/csl-citation.json"} </w:instrText>
      </w:r>
      <w:r w:rsidR="008C2B65" w:rsidRPr="00D82A90">
        <w:fldChar w:fldCharType="separate"/>
      </w:r>
      <w:r w:rsidR="008C2B65" w:rsidRPr="00D82A90">
        <w:t>(Northeast Temperate Network 2021)</w:t>
      </w:r>
      <w:r w:rsidR="008C2B65" w:rsidRPr="00D82A90">
        <w:fldChar w:fldCharType="end"/>
      </w:r>
      <w:r w:rsidR="008C2B65" w:rsidRPr="00D82A90">
        <w:t>.</w:t>
      </w:r>
      <w:r w:rsidR="00C15CC7">
        <w:t xml:space="preserve"> </w:t>
      </w:r>
      <w:r w:rsidR="00B44B75">
        <w:t xml:space="preserve">At the time of this analysis, only a subset spanning five </w:t>
      </w:r>
      <w:r w:rsidR="00B44B75">
        <w:lastRenderedPageBreak/>
        <w:t xml:space="preserve">years from 2013 – 2018 was available. </w:t>
      </w:r>
      <w:r w:rsidR="0039438D">
        <w:t xml:space="preserve">All nine sites are visited annually for data collection. </w:t>
      </w:r>
      <w:r w:rsidR="00B44B75">
        <w:t xml:space="preserve">The </w:t>
      </w:r>
      <w:r w:rsidR="00C15CC7">
        <w:t xml:space="preserve"> Acadia sites are the focus of this analysis, as the Boston Harbor Islands are a very different ecosystem, both naturally, with an uncommon mixed coarse substrate intertidal habitat, and artificially, in part due to Boston’s position as a global shipping hub introducing a significant amount of invasive species </w:t>
      </w:r>
      <w:r w:rsidR="00AB12F7">
        <w:fldChar w:fldCharType="begin"/>
      </w:r>
      <w:r w:rsidR="00AB12F7">
        <w:instrText xml:space="preserve"> ADDIN ZOTERO_ITEM CSL_CITATION {"citationID":"yEqm7W5j","properties":{"formattedCitation":"(Putnam et al. 2024)","plainCitation":"(Putnam et al. 2024)","noteIndex":0},"citationItems":[{"id":208,"uris":["http://zotero.org/users/13044088/items/WTTGRWIF"],"itemData":{"id":208,"type":"article-journal","abstract":"AbstractThe Boston Harbor Islands is the only coastal drumlin archipelago in the USA, featuring a distinctive and uncommon geological intertidal habitat known as mixed coarse substrate, which supports a range of coastal species and ecological processes. Recently designated as one of America’s 11 most endangered historic places due to climate change impacts, coastal adaptation and restoration efforts are crucial to their preservation. Such efforts can benefit from historic and current knowledge of endemic and emergent biodiversity. To investigate broad trends in coastal biodiversity, we compiled an inventory of marine coastal macroalgae, macroinvertebrates, fish, mammals, and shorebirds observed in the harbor since 1861. Records span 159 years, consisting of 451 unique taxa from 19 phyla. Analysis of average taxonomic distinctness (AvTD) revealed increases in diversity towards the end of the twentieth and early twenty-first century, likely associated with improved water quality (dissolved oxygen; AvTD &gt; 85, p = 0.01) due to harbor restoration in the 1980s. Macroinvertebrates comprised 50% of the records, making this the most diverse taxonomic group in the time series. A significant increase of non-indigenous species, primarily macroinvertebrates and macroalgae, was observed over the last 20 years near human infrastructure and across multiple islands, a consequence of global change and characteristic of most urban harbors. The mixed coarse intertidal habitat, which makes up &gt; 70% of Boston Harbor’s inner islands and supports high macroinvertebrate and macroalgal diversity (47% of species records), is not routinely monitored; our findings serve as a foundational resource for climate adaptation projects and decision-making.","container-title":"Marine Biodiversity","DOI":"10.1007/s12526-024-01462-4","ISSN":"1867-1616, 1867-1624","issue":"6","journalAbbreviation":"Mar. Biodivers.","language":"en","license":"https://creativecommons.org/licenses/by/4.0","note":"publisher: Springer Science and Business Media LLC","source":"Crossref","title":"Historical insights, current challenges: tracking marine biodiversity in an urban harbor ecosystem in the face of climate change","title-short":"Historical insights, current challenges","URL":"https://link.springer.com/10.1007/s12526-024-01462-4","volume":"54","author":[{"family":"Putnam","given":"Alysha B."},{"family":"Endyke","given":"Sarah C."},{"family":"Jones","given":"Ally R."},{"family":"Lockwood","given":"Lucy A. D."},{"family":"Taylor","given":"Justin"},{"family":"Albert","given":"Marc"},{"family":"Staudinger","given":"Michelle D."}],"accessed":{"date-parts":[["2025",7,22]]},"issued":{"date-parts":[["2024",12]]}}}],"schema":"https://github.com/citation-style-language/schema/raw/master/csl-citation.json"} </w:instrText>
      </w:r>
      <w:r w:rsidR="00AB12F7">
        <w:fldChar w:fldCharType="separate"/>
      </w:r>
      <w:r w:rsidR="00AB12F7" w:rsidRPr="00AB12F7">
        <w:t>(Putnam et al. 2024)</w:t>
      </w:r>
      <w:r w:rsidR="00AB12F7">
        <w:fldChar w:fldCharType="end"/>
      </w:r>
      <w:r w:rsidR="00C15CC7">
        <w:t>.</w:t>
      </w:r>
      <w:r w:rsidR="008C2B65" w:rsidRPr="00D82A90">
        <w:t xml:space="preserve"> </w:t>
      </w:r>
      <w:r w:rsidR="0048200C">
        <w:t xml:space="preserve">The dataset is broken down into different sub-protocols, including motile invertebrate and substrate percent cover photoplots, </w:t>
      </w:r>
      <w:r w:rsidR="00B44B75">
        <w:t>which will be used for this analysis.</w:t>
      </w:r>
      <w:r w:rsidR="000315D0">
        <w:t xml:space="preserve"> </w:t>
      </w:r>
      <w:r w:rsidR="00FC5CA0">
        <w:t>See the data dictionary located in Appendix A for a detailed description of the dataset.</w:t>
      </w:r>
    </w:p>
    <w:p w14:paraId="7AC93A16" w14:textId="3004EFDB" w:rsidR="005C6FCA" w:rsidRPr="0039438D" w:rsidRDefault="005C6FCA" w:rsidP="0039438D">
      <w:pPr>
        <w:pStyle w:val="Heading3"/>
      </w:pPr>
      <w:r w:rsidRPr="0039438D">
        <w:t>Motile Invertebrate and Substrate Percent Cover Photoplots</w:t>
      </w:r>
    </w:p>
    <w:p w14:paraId="7FECB08C" w14:textId="65B61B80" w:rsidR="005C6FCA" w:rsidRPr="0039438D" w:rsidRDefault="0039438D" w:rsidP="0039438D">
      <w:pPr>
        <w:pStyle w:val="BulkofText"/>
      </w:pPr>
      <w:r>
        <w:t xml:space="preserve">Each site is divided into subsites based on target species </w:t>
      </w:r>
      <w:r w:rsidR="00B44B75">
        <w:t xml:space="preserve">or group </w:t>
      </w:r>
      <w:r>
        <w:t>(</w:t>
      </w:r>
      <w:r>
        <w:rPr>
          <w:i/>
          <w:iCs/>
        </w:rPr>
        <w:t xml:space="preserve">A. </w:t>
      </w:r>
      <w:r w:rsidR="00393964">
        <w:rPr>
          <w:i/>
          <w:iCs/>
        </w:rPr>
        <w:t>nodosum</w:t>
      </w:r>
      <w:r>
        <w:rPr>
          <w:i/>
          <w:iCs/>
        </w:rPr>
        <w:t xml:space="preserve">, F. vesiculosus, </w:t>
      </w:r>
      <w:r>
        <w:t>red algae, barnacles, and mussels), with each of those comprising five photoplots each. This subprotocol includes count data of all motile invertebrate individuals collected from each photoplot, separated by species, as well as measurements of a random subsample of ten individuals for each species and photoplot, or however many were collected if there were less than ten in a plot. This data also includes percent cover data for each photoplot, determined using a proprietary model with visual validation by a human.</w:t>
      </w:r>
      <w:r w:rsidR="000315D0" w:rsidRPr="000315D0">
        <w:t xml:space="preserve"> </w:t>
      </w:r>
      <w:r w:rsidR="000315D0">
        <w:t>After pivoting each dataset to wide form and joining them together, there are 40 parameters and 760 observations.</w:t>
      </w:r>
    </w:p>
    <w:p w14:paraId="240A924E" w14:textId="6B5BFA8E" w:rsidR="00E24C6B" w:rsidRPr="005C6FCA" w:rsidRDefault="008C2B65" w:rsidP="005C6FCA">
      <w:pPr>
        <w:pStyle w:val="Heading2"/>
      </w:pPr>
      <w:r w:rsidRPr="005C6FCA">
        <w:t>Variable</w:t>
      </w:r>
      <w:r w:rsidR="000315D0">
        <w:t xml:space="preserve"> Breakdown</w:t>
      </w:r>
    </w:p>
    <w:p w14:paraId="2A5B5681" w14:textId="09E4B7B1" w:rsidR="001F718F" w:rsidRPr="00D82A90" w:rsidRDefault="00FC5CA0" w:rsidP="0039438D">
      <w:pPr>
        <w:pStyle w:val="BulkofText"/>
      </w:pPr>
      <w:r>
        <w:t>The t</w:t>
      </w:r>
      <w:r w:rsidR="00DB1E27">
        <w:t>arget variable</w:t>
      </w:r>
      <w:r>
        <w:t>s in question</w:t>
      </w:r>
      <w:r w:rsidR="00DB1E27">
        <w:t xml:space="preserve"> </w:t>
      </w:r>
      <w:r>
        <w:t>are</w:t>
      </w:r>
      <w:r w:rsidR="00DB1E27">
        <w:t xml:space="preserve"> the percent cover of </w:t>
      </w:r>
      <w:r w:rsidR="008C2B65" w:rsidRPr="00D82A90">
        <w:rPr>
          <w:i/>
          <w:iCs/>
        </w:rPr>
        <w:t xml:space="preserve">F. vesiculosus </w:t>
      </w:r>
      <w:r w:rsidR="008C2B65" w:rsidRPr="00D82A90">
        <w:t xml:space="preserve"> </w:t>
      </w:r>
      <w:r w:rsidR="00DB1E27">
        <w:t>and</w:t>
      </w:r>
      <w:r w:rsidR="008C2B65" w:rsidRPr="00D82A90">
        <w:t xml:space="preserve"> </w:t>
      </w:r>
      <w:r w:rsidR="008C2B65" w:rsidRPr="00D82A90">
        <w:rPr>
          <w:i/>
          <w:iCs/>
        </w:rPr>
        <w:t>A. nodosum</w:t>
      </w:r>
      <w:r w:rsidR="00DB1E27">
        <w:t>, These are</w:t>
      </w:r>
      <w:r>
        <w:t xml:space="preserve"> keystone species and ecosystem engineers,</w:t>
      </w:r>
      <w:r w:rsidR="00DB1E27">
        <w:t xml:space="preserve"> a focus of the NETN protocol and, from personal anecdotal experience working in the field on this protocol, have been undergoing </w:t>
      </w:r>
      <w:r w:rsidR="00DB1E27">
        <w:lastRenderedPageBreak/>
        <w:t>dramatic changes in distribution along the intertidal in recent years.</w:t>
      </w:r>
      <w:r w:rsidR="008C2B65" w:rsidRPr="00D82A90">
        <w:t xml:space="preserve"> The predictor variables will include percent cover of each </w:t>
      </w:r>
      <w:r>
        <w:t xml:space="preserve">other measured </w:t>
      </w:r>
      <w:r w:rsidR="008C2B65" w:rsidRPr="00D82A90">
        <w:t>algal species</w:t>
      </w:r>
      <w:r w:rsidR="00DB1E27">
        <w:t xml:space="preserve"> (or group when speciation is inappropriate or unfeasible)</w:t>
      </w:r>
      <w:r w:rsidR="008C2B65" w:rsidRPr="00D82A90">
        <w:t xml:space="preserve"> and sessile invertebrates like </w:t>
      </w:r>
      <w:r w:rsidR="00796C0F" w:rsidRPr="00D82A90">
        <w:rPr>
          <w:i/>
          <w:iCs/>
        </w:rPr>
        <w:t>Semibalanus balanoides</w:t>
      </w:r>
      <w:r w:rsidR="00393964">
        <w:rPr>
          <w:i/>
          <w:iCs/>
        </w:rPr>
        <w:t xml:space="preserve"> </w:t>
      </w:r>
      <w:r w:rsidR="00393964">
        <w:rPr>
          <w:i/>
          <w:iCs/>
        </w:rPr>
        <w:fldChar w:fldCharType="begin"/>
      </w:r>
      <w:r w:rsidR="00393964">
        <w:rPr>
          <w:i/>
          <w:iCs/>
        </w:rPr>
        <w:instrText xml:space="preserve"> ADDIN ZOTERO_ITEM CSL_CITATION {"citationID":"QXtkDZvv","properties":{"formattedCitation":"(Linn\\uc0\\u233{} and Salvius 1758)","plainCitation":"(Linné and Salvius 1758)","noteIndex":0},"citationItems":[{"id":211,"uris":["http://zotero.org/users/13044088/items/3HV2NYCX"],"itemData":{"id":211,"type":"book","event-place":"Holmiae","publisher":"Impensis Direct. Laurentii Salvii","publisher-place":"Holmiae","title":"Caroli Linnaei...Systema naturae per regna tria naturae :secundum classes, ordines, genera, species, cum characteribus, differentiis, synonymis, locis","URL":"https://www.biodiversitylibrary.org/page/726886","volume":"v.1","author":[{"family":"Linné","given":"Carl","suffix":"","dropping-particle":"von"},{"family":"Salvius","given":"Lars","suffix":""}],"issued":{"date-parts":[["1758"]]}}}],"schema":"https://github.com/citation-style-language/schema/raw/master/csl-citation.json"} </w:instrText>
      </w:r>
      <w:r w:rsidR="00393964">
        <w:rPr>
          <w:i/>
          <w:iCs/>
        </w:rPr>
        <w:fldChar w:fldCharType="separate"/>
      </w:r>
      <w:r w:rsidR="00393964" w:rsidRPr="00393964">
        <w:t>(Linné and Salvius 1758)</w:t>
      </w:r>
      <w:r w:rsidR="00393964">
        <w:rPr>
          <w:i/>
          <w:iCs/>
        </w:rPr>
        <w:fldChar w:fldCharType="end"/>
      </w:r>
      <w:r w:rsidR="00796C0F" w:rsidRPr="00D82A90">
        <w:t xml:space="preserve"> and </w:t>
      </w:r>
      <w:r w:rsidR="00796C0F" w:rsidRPr="00D82A90">
        <w:rPr>
          <w:i/>
          <w:iCs/>
        </w:rPr>
        <w:t>Mytilus edulis</w:t>
      </w:r>
      <w:r w:rsidR="00393964">
        <w:rPr>
          <w:i/>
          <w:iCs/>
        </w:rPr>
        <w:t xml:space="preserve"> </w:t>
      </w:r>
      <w:r w:rsidR="00393964">
        <w:rPr>
          <w:i/>
          <w:iCs/>
        </w:rPr>
        <w:fldChar w:fldCharType="begin"/>
      </w:r>
      <w:r w:rsidR="00393964">
        <w:rPr>
          <w:i/>
          <w:iCs/>
        </w:rPr>
        <w:instrText xml:space="preserve"> ADDIN ZOTERO_ITEM CSL_CITATION {"citationID":"52cHWbTW","properties":{"formattedCitation":"(Linn\\uc0\\u233{} and Salvius 1758)","plainCitation":"(Linné and Salvius 1758)","noteIndex":0},"citationItems":[{"id":211,"uris":["http://zotero.org/users/13044088/items/3HV2NYCX"],"itemData":{"id":211,"type":"book","event-place":"Holmiae","publisher":"Impensis Direct. Laurentii Salvii","publisher-place":"Holmiae","title":"Caroli Linnaei...Systema naturae per regna tria naturae :secundum classes, ordines, genera, species, cum characteribus, differentiis, synonymis, locis","URL":"https://www.biodiversitylibrary.org/page/726886","volume":"v.1","author":[{"family":"Linné","given":"Carl","suffix":"","dropping-particle":"von"},{"family":"Salvius","given":"Lars","suffix":""}],"issued":{"date-parts":[["1758"]]}}}],"schema":"https://github.com/citation-style-language/schema/raw/master/csl-citation.json"} </w:instrText>
      </w:r>
      <w:r w:rsidR="00393964">
        <w:rPr>
          <w:i/>
          <w:iCs/>
        </w:rPr>
        <w:fldChar w:fldCharType="separate"/>
      </w:r>
      <w:r w:rsidR="00393964" w:rsidRPr="00393964">
        <w:t>(Linné and Salvius 1758)</w:t>
      </w:r>
      <w:r w:rsidR="00393964">
        <w:rPr>
          <w:i/>
          <w:iCs/>
        </w:rPr>
        <w:fldChar w:fldCharType="end"/>
      </w:r>
      <w:r w:rsidR="00796C0F" w:rsidRPr="00D82A90">
        <w:t>, a</w:t>
      </w:r>
      <w:r>
        <w:t>s well as the</w:t>
      </w:r>
      <w:r w:rsidR="00796C0F" w:rsidRPr="00D82A90">
        <w:t xml:space="preserve"> abundance</w:t>
      </w:r>
      <w:r>
        <w:t xml:space="preserve"> and mean measurement</w:t>
      </w:r>
      <w:r w:rsidR="00796C0F" w:rsidRPr="00D82A90">
        <w:t xml:space="preserve"> of each motile invertebrate</w:t>
      </w:r>
      <w:r>
        <w:t xml:space="preserve"> species collected</w:t>
      </w:r>
      <w:r w:rsidR="00DB1E27">
        <w:t>.</w:t>
      </w:r>
    </w:p>
    <w:p w14:paraId="5F592021" w14:textId="44CE245B" w:rsidR="00FC5CA0" w:rsidRDefault="00FC5CA0" w:rsidP="00FC5CA0">
      <w:pPr>
        <w:pStyle w:val="Heading1"/>
        <w:spacing w:before="0"/>
      </w:pPr>
      <w:r>
        <w:t>Data Exploration</w:t>
      </w:r>
    </w:p>
    <w:p w14:paraId="640BFB1C" w14:textId="51DB264C" w:rsidR="00FC5CA0" w:rsidRPr="005C6FCA" w:rsidRDefault="00FC5CA0" w:rsidP="00FC5CA0">
      <w:pPr>
        <w:pStyle w:val="Heading2"/>
      </w:pPr>
      <w:r>
        <w:t>Exploratory Data Analysis Methodology</w:t>
      </w:r>
    </w:p>
    <w:p w14:paraId="3AAD4042" w14:textId="0ED0C2C0" w:rsidR="00FC5CA0" w:rsidRDefault="00D36C86" w:rsidP="00FC5CA0">
      <w:pPr>
        <w:pStyle w:val="BulkofText"/>
      </w:pPr>
      <w:r>
        <w:t>A</w:t>
      </w:r>
      <w:r w:rsidR="00FC5CA0">
        <w:t xml:space="preserve"> correlation matrix</w:t>
      </w:r>
      <w:r>
        <w:t xml:space="preserve"> was used</w:t>
      </w:r>
      <w:r w:rsidR="00FC5CA0">
        <w:t xml:space="preserve"> to give an overview of the trends in </w:t>
      </w:r>
      <w:r>
        <w:t xml:space="preserve">the </w:t>
      </w:r>
      <w:r w:rsidR="00FC5CA0">
        <w:t>data, and how different features may influence each other. T</w:t>
      </w:r>
      <w:r w:rsidR="00585EAA">
        <w:t>o manage the high number of predictors and the overall weak multicollinearity, a threshold of r &gt; 0.5 was used, resulting in a legible heatmap of moderately correlated predictors</w:t>
      </w:r>
      <w:r w:rsidR="00FC5CA0">
        <w:t>.</w:t>
      </w:r>
    </w:p>
    <w:p w14:paraId="2386EAB6" w14:textId="36BA1234" w:rsidR="00FC5CA0" w:rsidRDefault="00585EAA" w:rsidP="00FC5CA0">
      <w:pPr>
        <w:pStyle w:val="BulkofText"/>
      </w:pPr>
      <w:r>
        <w:t>S</w:t>
      </w:r>
      <w:r w:rsidRPr="00585EAA">
        <w:t xml:space="preserve">catterplots were </w:t>
      </w:r>
      <w:r>
        <w:t>used</w:t>
      </w:r>
      <w:r w:rsidRPr="00585EAA">
        <w:t xml:space="preserve"> to examine </w:t>
      </w:r>
      <w:r>
        <w:t xml:space="preserve">the </w:t>
      </w:r>
      <w:r w:rsidRPr="00585EAA">
        <w:t>relationships between motile invertebrate abundances and each algal target variable (</w:t>
      </w:r>
      <w:r w:rsidRPr="00585EAA">
        <w:rPr>
          <w:i/>
          <w:iCs/>
        </w:rPr>
        <w:t>Fucus vesiculosus</w:t>
      </w:r>
      <w:r w:rsidRPr="00585EAA">
        <w:t xml:space="preserve"> and </w:t>
      </w:r>
      <w:r w:rsidRPr="00585EAA">
        <w:rPr>
          <w:i/>
          <w:iCs/>
        </w:rPr>
        <w:t>Ascophyllum nodosum</w:t>
      </w:r>
      <w:r w:rsidRPr="00585EAA">
        <w:t xml:space="preserve">). </w:t>
      </w:r>
      <w:r w:rsidR="00FC5CA0">
        <w:t>These scatterplots included the target variable percent cover on the Y-axis, the specific motile invertebrate count on the X-axis, and a trendline, calculated via a simple linear model method.</w:t>
      </w:r>
    </w:p>
    <w:p w14:paraId="6362298D" w14:textId="2DD54BF4" w:rsidR="00585EAA" w:rsidRPr="00D82A90" w:rsidRDefault="00585EAA" w:rsidP="00585EAA">
      <w:pPr>
        <w:pStyle w:val="BulkofText"/>
      </w:pPr>
      <w:r>
        <w:t xml:space="preserve">Histograms were used to examine the frequency distribution for each target variable (Figure 4). These histograms illustrated that the target variables are heavily skewed and zero-inflated, suggesting that significant transformation would be necessary to fit the assumptions of many models and that non-parametric models may be a better fit. </w:t>
      </w:r>
    </w:p>
    <w:p w14:paraId="11AE3634" w14:textId="65BD5C37" w:rsidR="00585EAA" w:rsidRDefault="00585EAA" w:rsidP="00FC5CA0">
      <w:pPr>
        <w:pStyle w:val="BulkofText"/>
      </w:pPr>
      <w:r>
        <w:t>Summary</w:t>
      </w:r>
      <w:r w:rsidRPr="00585EAA">
        <w:t xml:space="preserve"> statistics (mean, median, standard deviation, minimum, maximum, skewness, and kurtosis) were calculated for all continuous variables and compiled into </w:t>
      </w:r>
      <w:r>
        <w:t>Table 1</w:t>
      </w:r>
      <w:r w:rsidRPr="00585EAA">
        <w:t>.</w:t>
      </w:r>
    </w:p>
    <w:p w14:paraId="11BAC94F" w14:textId="5FF1CAD7" w:rsidR="00585EAA" w:rsidRDefault="00585EAA" w:rsidP="00FC5CA0">
      <w:pPr>
        <w:pStyle w:val="BulkofText"/>
      </w:pPr>
      <w:r>
        <w:lastRenderedPageBreak/>
        <w:t>A</w:t>
      </w:r>
      <w:r w:rsidR="00FC5CA0">
        <w:t xml:space="preserve"> </w:t>
      </w:r>
      <w:r>
        <w:t xml:space="preserve">Hellinger-transformed </w:t>
      </w:r>
      <w:r w:rsidR="00FC5CA0">
        <w:t xml:space="preserve">principal component analysis (PCA) </w:t>
      </w:r>
      <w:r>
        <w:t xml:space="preserve">was used </w:t>
      </w:r>
      <w:r w:rsidR="00FC5CA0">
        <w:t xml:space="preserve">to </w:t>
      </w:r>
      <w:r>
        <w:t>examine</w:t>
      </w:r>
      <w:r w:rsidR="00FC5CA0">
        <w:t xml:space="preserve"> what variables were responsible for explaining most of the variance in the data and </w:t>
      </w:r>
      <w:r>
        <w:t>reveal a path towards</w:t>
      </w:r>
      <w:r w:rsidR="00FC5CA0">
        <w:t xml:space="preserve"> reducing dimensionality.</w:t>
      </w:r>
      <w:r>
        <w:t xml:space="preserve"> The Hellinger transformation is meant to improve the efficacy of PCA when analyzing ecological data.</w:t>
      </w:r>
      <w:r w:rsidR="00FC5CA0">
        <w:t xml:space="preserve"> </w:t>
      </w:r>
      <w:r>
        <w:t>A</w:t>
      </w:r>
      <w:r w:rsidR="00FC5CA0">
        <w:t xml:space="preserve"> </w:t>
      </w:r>
      <w:r>
        <w:t>s</w:t>
      </w:r>
      <w:r w:rsidR="00FC5CA0">
        <w:t>cree plot</w:t>
      </w:r>
      <w:r>
        <w:t xml:space="preserve"> (Figure 5) was used</w:t>
      </w:r>
      <w:r w:rsidR="00FC5CA0">
        <w:t xml:space="preserve"> to </w:t>
      </w:r>
      <w:r>
        <w:t xml:space="preserve">visually </w:t>
      </w:r>
      <w:r w:rsidR="00FC5CA0">
        <w:t>examine the loadings of each principal component to get a sense of the structure of the data.</w:t>
      </w:r>
      <w:r>
        <w:t xml:space="preserve"> </w:t>
      </w:r>
    </w:p>
    <w:p w14:paraId="0000A8DB" w14:textId="6CC16A17" w:rsidR="00FC5CA0" w:rsidRDefault="00585EAA" w:rsidP="00FC5CA0">
      <w:pPr>
        <w:pStyle w:val="BulkofText"/>
      </w:pPr>
      <w:r>
        <w:t xml:space="preserve">While the Hellinger transformation applied does work to address the zero inflated nature of the ecological survey data, studies have shown that even a Hellinger transformed PCA is a poor choice for reducing dimensionality in ecological data </w:t>
      </w:r>
      <w:r>
        <w:fldChar w:fldCharType="begin"/>
      </w:r>
      <w:r>
        <w:instrText xml:space="preserve"> ADDIN ZOTERO_ITEM CSL_CITATION {"citationID":"Ukv0SPCF","properties":{"formattedCitation":"(Minchin and Rennie 2010)","plainCitation":"(Minchin and Rennie 2010)","noteIndex":0},"citationItems":[{"id":234,"uris":["http://zotero.org/users/13044088/items/DDXD4ZK8"],"itemData":{"id":234,"type":"article-journal","container-title":"95th Annual ESA Meeting Contributed Oral Papers","title":"Does the Hellinger transformation make PCA a viable method for community ordination?","URL":"https://eco.confex.com/eco/2010/techprogram/P24489.HTM","author":[{"family":"Minchin","given":"Peter"},{"family":"Rennie","given":"Lauren"}],"accessed":{"date-parts":[["2025",8,5]]},"issued":{"date-parts":[["2010",8,6]]}}}],"schema":"https://github.com/citation-style-language/schema/raw/master/csl-citation.json"} </w:instrText>
      </w:r>
      <w:r>
        <w:fldChar w:fldCharType="separate"/>
      </w:r>
      <w:r w:rsidRPr="001B4272">
        <w:t>(Minchin and Rennie 2010)</w:t>
      </w:r>
      <w:r>
        <w:fldChar w:fldCharType="end"/>
      </w:r>
      <w:r>
        <w:t xml:space="preserve">. Non-parametric multidimensional scaling (NMDS) was used as a more appropriate dimensionality reduction technique for this data type </w:t>
      </w:r>
      <w:r>
        <w:fldChar w:fldCharType="begin"/>
      </w:r>
      <w:r>
        <w:instrText xml:space="preserve"> ADDIN ZOTERO_ITEM CSL_CITATION {"citationID":"PtLVMrav","properties":{"formattedCitation":"(Clarke 1993, Minchin and Rennie 2010, Dexter et al. 2018)","plainCitation":"(Clarke 1993, Minchin and Rennie 2010, Dexter et al. 2018)","noteIndex":0},"citationItems":[{"id":241,"uris":["http://zotero.org/users/13044088/items/52ISJQL4"],"itemData":{"id":241,"type":"article-journal","abstract":"Abstract\n              In the early 1980s, a strategy for graphical representation of multivariate (multi‐species) abundance data was introduced into marine ecology by, among others, Field,\n              et al.\n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(Crossref)","title":"Non‐parametric multivariate analyses of changes in community structure","volume":"18","author":[{"family":"Clarke","given":"K. R."}],"issued":{"date-parts":[["1993",3]]}}},{"id":234,"uris":["http://zotero.org/users/13044088/items/DDXD4ZK8"],"itemData":{"id":234,"type":"article-journal","container-title":"95th Annual ESA Meeting Contributed Oral Papers","title":"Does the Hellinger transformation make PCA a viable method for community ordination?","URL":"https://eco.confex.com/eco/2010/techprogram/P24489.HTM","author":[{"family":"Minchin","given":"Peter"},{"family":"Rennie","given":"Lauren"}],"accessed":{"date-parts":[["2025",8,5]]},"issued":{"date-parts":[["2010",8,6]]}}},{"id":238,"uris":["http://zotero.org/users/13044088/items/VQC8T8PE"],"itemData":{"id":238,"type":"article-journal","abstract":"Nonmetric multidimensional scaling (NMDS) is a powerful statistical tool which enables complex multivariate data sets to be visualized in a reduced number of dimensions. Users typically evaluate the fit of an NMDS ordination via ordination “stress” (i.e., data distortion) against a commonly accepted set of heuristic guidelines. However, these guidelines do not account for the mathematical relationship which links ordination stress to sample size. Consequently, researchers working with large data sets may unnecessarily present ordinations in an intractable number of dimensions, subdivide their data, or forego the use of NMDS entirely and lose the benefits of this highly flexible and useful technique. In order to overcome the limitations of these practices, we advocate for an alternative approach to the evaluation of NMDS ordination fit via the usage of permutation-based ecological null models. We present the rationale for this approach from a theoretical basis, supported by a brief literature review, and an example usage of the methodology. Our literature review shows that NMDS analyses often far exceed the number of observations under which the original stress guidelines were formulated—with a significant increasing trend in recent decades. Adoption of a permutation-based approach will consequently provide a more flexible and quantitative evaluation of NMDS fit and allow for the continued application of NMDS in an era of increasingly large datasets.","container-title":"Limnology and Oceanography: Methods","DOI":"10.1002/lom3.10257","ISSN":"1541-5856","issue":"7","language":"en","license":"© 2018 Association for the Sciences of Limnology and Oceanography","note":"_eprint: https://aslopubs.onlinelibrary.wiley.com/doi/pdf/10.1002/lom3.10257","page":"434-443","source":"Wiley Online Library","title":"The trouble with stress: A flexible method for the evaluation of nonmetric multidimensional scaling","title-short":"The trouble with stress","volume":"16","author":[{"family":"Dexter","given":"Eric"},{"family":"Rollwagen-Bollens","given":"Gretchen"},{"family":"Bollens","given":"Stephen M."}],"issued":{"date-parts":[["2018"]]}}}],"schema":"https://github.com/citation-style-language/schema/raw/master/csl-citation.json"} </w:instrText>
      </w:r>
      <w:r>
        <w:fldChar w:fldCharType="separate"/>
      </w:r>
      <w:r w:rsidRPr="001B4272">
        <w:t>(Clarke 1993, Minchin and Rennie 2010, Dexter et al. 2018)</w:t>
      </w:r>
      <w:r>
        <w:fldChar w:fldCharType="end"/>
      </w:r>
      <w:r w:rsidR="00F01B11">
        <w:t>. The results of the NMDS are visualized in Figure 6.</w:t>
      </w:r>
    </w:p>
    <w:p w14:paraId="5AEBD423" w14:textId="77777777" w:rsidR="00FC5CA0" w:rsidRDefault="00FC5CA0" w:rsidP="00FC5CA0">
      <w:pPr>
        <w:pStyle w:val="Heading2"/>
      </w:pPr>
      <w:r>
        <w:lastRenderedPageBreak/>
        <w:t>Correlation Heatmap</w:t>
      </w:r>
    </w:p>
    <w:p w14:paraId="2436227A" w14:textId="77777777" w:rsidR="00FC5CA0" w:rsidRDefault="00FC5CA0" w:rsidP="00FC5CA0">
      <w:pPr>
        <w:keepNext/>
      </w:pPr>
      <w:r>
        <w:rPr>
          <w:noProof/>
        </w:rPr>
        <w:drawing>
          <wp:inline distT="0" distB="0" distL="0" distR="0" wp14:anchorId="565DCDA6" wp14:editId="3EBF162D">
            <wp:extent cx="5943600" cy="3667125"/>
            <wp:effectExtent l="0" t="0" r="0" b="9525"/>
            <wp:docPr id="2089781687" name="Picture 2"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1687" name="Picture 2" descr="A graph with purple squar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BD55B0A" w14:textId="73B65F39" w:rsidR="00FC5CA0" w:rsidRDefault="00FC5CA0" w:rsidP="00FC5CA0">
      <w:pPr>
        <w:pStyle w:val="Caption"/>
      </w:pPr>
      <w:r>
        <w:t xml:space="preserve">Figure </w:t>
      </w:r>
      <w:fldSimple w:instr=" SEQ Figure \* ARABIC ">
        <w:r w:rsidR="0048495F">
          <w:rPr>
            <w:noProof/>
          </w:rPr>
          <w:t>1</w:t>
        </w:r>
      </w:fldSimple>
      <w:r>
        <w:t xml:space="preserve"> - Correlation Heatmap between moderately correlated variables in the NETN rocky intertidal long term ecological monitoring protocol photoplots. Variables include motile invertebrate count data, motile invertebrate mean length measurement data, macroalgae percent cover data, and substrate percent cover data.</w:t>
      </w:r>
    </w:p>
    <w:p w14:paraId="53127BBA" w14:textId="77777777" w:rsidR="00FC5CA0" w:rsidRPr="00152920" w:rsidRDefault="00FC5CA0" w:rsidP="00FC5CA0">
      <w:pPr>
        <w:pStyle w:val="BulkofText"/>
      </w:pPr>
      <w:r>
        <w:t xml:space="preserve">The correlation heatmap showed that there is very little collinearity within this dataset. The strongest collinearity was seen between the motile invertebrate count data and their respective mean length measurement data. This conceptually makes sense as, in plots that are more hospitable to certain species (higher count abundance values) those same species would be more likely to thrive and grow larger. The other correlations were between </w:t>
      </w:r>
      <w:r>
        <w:rPr>
          <w:i/>
          <w:iCs/>
        </w:rPr>
        <w:t>A. nodosum</w:t>
      </w:r>
      <w:r>
        <w:t xml:space="preserve"> and its epibiont, which requires </w:t>
      </w:r>
      <w:r>
        <w:rPr>
          <w:i/>
          <w:iCs/>
        </w:rPr>
        <w:t>A. nodosum</w:t>
      </w:r>
      <w:r>
        <w:t xml:space="preserve"> as substrate to grow on, and barnacles and other substrate. Scanning the notes column in the raw data revealed that dead barnacles/leftover shells were frequently labelled as other substrate, which explains that correlation.</w:t>
      </w:r>
    </w:p>
    <w:p w14:paraId="07217A65" w14:textId="77777777" w:rsidR="00FC5CA0" w:rsidRPr="005C6FCA" w:rsidRDefault="00FC5CA0" w:rsidP="00FC5CA0">
      <w:pPr>
        <w:pStyle w:val="Heading2"/>
      </w:pPr>
      <w:r>
        <w:rPr>
          <w:i w:val="0"/>
          <w:iCs w:val="0"/>
        </w:rPr>
        <w:lastRenderedPageBreak/>
        <w:t xml:space="preserve">F. Vesiculosus </w:t>
      </w:r>
      <w:r>
        <w:t xml:space="preserve">and </w:t>
      </w:r>
      <w:r>
        <w:rPr>
          <w:i w:val="0"/>
          <w:iCs w:val="0"/>
        </w:rPr>
        <w:t>A. nodosum</w:t>
      </w:r>
      <w:r>
        <w:t xml:space="preserve"> relationship with Motile Invertebrates</w:t>
      </w:r>
    </w:p>
    <w:p w14:paraId="2A6136C8" w14:textId="1E7BB165" w:rsidR="00FC5CA0" w:rsidRDefault="001B4272" w:rsidP="00FC5CA0">
      <w:pPr>
        <w:pStyle w:val="BulkofText"/>
        <w:keepNext/>
      </w:pPr>
      <w:r>
        <w:rPr>
          <w:noProof/>
        </w:rPr>
        <w:drawing>
          <wp:inline distT="0" distB="0" distL="0" distR="0" wp14:anchorId="1DBB40A9" wp14:editId="6EED3E4B">
            <wp:extent cx="5943600" cy="3667125"/>
            <wp:effectExtent l="0" t="0" r="0" b="9525"/>
            <wp:docPr id="12273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6E7F5212" w14:textId="64C41A2A" w:rsidR="00FC5CA0" w:rsidRDefault="00FC5CA0" w:rsidP="00FC5CA0">
      <w:pPr>
        <w:pStyle w:val="Caption"/>
      </w:pPr>
      <w:r>
        <w:t xml:space="preserve">Figure </w:t>
      </w:r>
      <w:fldSimple w:instr=" SEQ Figure \* ARABIC ">
        <w:r w:rsidR="0048495F">
          <w:rPr>
            <w:noProof/>
          </w:rPr>
          <w:t>2</w:t>
        </w:r>
      </w:fldSimple>
      <w:r>
        <w:t xml:space="preserve"> - Relationship between Fucus Vesiculosus percent cover and motile invertebrate abundances in NETN rocky intertidal photoplots.</w:t>
      </w:r>
    </w:p>
    <w:p w14:paraId="257C7E51" w14:textId="77777777" w:rsidR="00FC5CA0" w:rsidRDefault="00FC5CA0" w:rsidP="00FC5CA0">
      <w:pPr>
        <w:pStyle w:val="BulkofText"/>
      </w:pPr>
      <w:r>
        <w:t xml:space="preserve">Examining </w:t>
      </w:r>
      <w:r>
        <w:rPr>
          <w:i/>
          <w:iCs/>
        </w:rPr>
        <w:t>F. vesiculosus</w:t>
      </w:r>
      <w:r>
        <w:t xml:space="preserve"> percent cover as a function of motile invertebrate abundances suggests that common periwinkles, smooth periwinkles, and limpets have a positive correlation, while rough periwinkles have a negative correlation</w:t>
      </w:r>
      <w:r w:rsidRPr="00D82A90">
        <w:t>.</w:t>
      </w:r>
      <w:r>
        <w:t xml:space="preserve"> This may suggest that either the commons, smooths, and limpets promote </w:t>
      </w:r>
      <w:r>
        <w:rPr>
          <w:i/>
          <w:iCs/>
        </w:rPr>
        <w:t>Fucus</w:t>
      </w:r>
      <w:r>
        <w:t xml:space="preserve"> in some way, or that they prefer that as habitat.</w:t>
      </w:r>
    </w:p>
    <w:p w14:paraId="3406B3FB" w14:textId="6AFF29FA" w:rsidR="00FC5CA0" w:rsidRDefault="001B4272" w:rsidP="00FC5CA0">
      <w:pPr>
        <w:pStyle w:val="BulkofText"/>
        <w:keepNext/>
      </w:pPr>
      <w:r>
        <w:rPr>
          <w:noProof/>
        </w:rPr>
        <w:lastRenderedPageBreak/>
        <w:drawing>
          <wp:inline distT="0" distB="0" distL="0" distR="0" wp14:anchorId="0D6FBC52" wp14:editId="3BBD5F56">
            <wp:extent cx="5943600" cy="3667125"/>
            <wp:effectExtent l="0" t="0" r="0" b="9525"/>
            <wp:docPr id="178588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003373C3" w14:textId="223A9923" w:rsidR="00FC5CA0" w:rsidRDefault="00FC5CA0" w:rsidP="00FC5CA0">
      <w:pPr>
        <w:pStyle w:val="Caption"/>
      </w:pPr>
      <w:r>
        <w:t xml:space="preserve">Figure </w:t>
      </w:r>
      <w:fldSimple w:instr=" SEQ Figure \* ARABIC ">
        <w:r w:rsidR="0048495F">
          <w:rPr>
            <w:noProof/>
          </w:rPr>
          <w:t>3</w:t>
        </w:r>
      </w:fldSimple>
      <w:r>
        <w:t xml:space="preserve"> - </w:t>
      </w:r>
      <w:r w:rsidRPr="001A7F7A">
        <w:t xml:space="preserve">Relationship between </w:t>
      </w:r>
      <w:r>
        <w:t>Ascophyllum nodosum</w:t>
      </w:r>
      <w:r w:rsidRPr="001A7F7A">
        <w:t xml:space="preserve"> percent cover and motile invertebrate abundances in NETN rocky intertidal photoplots.</w:t>
      </w:r>
    </w:p>
    <w:p w14:paraId="50ECAF92" w14:textId="07B72679" w:rsidR="00FC5CA0" w:rsidRDefault="00FC5CA0" w:rsidP="00FC5CA0">
      <w:pPr>
        <w:pStyle w:val="BulkofText"/>
      </w:pPr>
      <w:r>
        <w:t xml:space="preserve">The plots examining </w:t>
      </w:r>
      <w:r>
        <w:rPr>
          <w:i/>
          <w:iCs/>
        </w:rPr>
        <w:t>A. nodosum</w:t>
      </w:r>
      <w:r>
        <w:t xml:space="preserve"> percent cover as a function of the various motile invertebrate abundances </w:t>
      </w:r>
      <w:r w:rsidR="001B4272">
        <w:t>suggest</w:t>
      </w:r>
      <w:r>
        <w:t xml:space="preserve"> that common periwinkle abundance has no meaningful relationship with </w:t>
      </w:r>
      <w:r>
        <w:rPr>
          <w:i/>
          <w:iCs/>
        </w:rPr>
        <w:t>Ascophyllum</w:t>
      </w:r>
      <w:r>
        <w:t xml:space="preserve"> percent cover, while smooth periwinkle abundance is associated with improved percent cover, and both rough periwinkle and limpet abundances are associated with reduced percent cover. The common periwinkle trend is in line with the </w:t>
      </w:r>
      <w:r w:rsidR="001B4272">
        <w:t>established</w:t>
      </w:r>
      <w:r>
        <w:t xml:space="preserve">, which predicted that there was no relationship between the abundance of the two </w:t>
      </w:r>
      <w:r w:rsidR="001B4272">
        <w:t>species,</w:t>
      </w:r>
      <w:r>
        <w:t xml:space="preserve"> as </w:t>
      </w:r>
      <w:r w:rsidR="001B4272">
        <w:rPr>
          <w:i/>
          <w:iCs/>
        </w:rPr>
        <w:t>L. littorea</w:t>
      </w:r>
      <w:r>
        <w:t xml:space="preserve"> do not preferentially feed on </w:t>
      </w:r>
      <w:r>
        <w:rPr>
          <w:i/>
          <w:iCs/>
        </w:rPr>
        <w:t>A. nodosum</w:t>
      </w:r>
      <w:r>
        <w:t>.</w:t>
      </w:r>
    </w:p>
    <w:p w14:paraId="23184291" w14:textId="090BEC11" w:rsidR="00FC5CA0" w:rsidRPr="001B4272" w:rsidRDefault="00FC5CA0" w:rsidP="00FC5CA0">
      <w:pPr>
        <w:pStyle w:val="BulkofText"/>
      </w:pPr>
      <w:r>
        <w:t xml:space="preserve">Both sets of plots suggest that there are some relationships between macroalgal percent cover and motile invertebrate abundance, which </w:t>
      </w:r>
      <w:r w:rsidR="001B4272">
        <w:t>is a promising sign for the ability to predict macroalgal percent cover.</w:t>
      </w:r>
    </w:p>
    <w:p w14:paraId="74BE8452" w14:textId="77777777" w:rsidR="00FC5CA0" w:rsidRPr="005C6FCA" w:rsidRDefault="00FC5CA0" w:rsidP="00FC5CA0">
      <w:pPr>
        <w:pStyle w:val="Heading2"/>
      </w:pPr>
      <w:r>
        <w:rPr>
          <w:i w:val="0"/>
          <w:iCs w:val="0"/>
        </w:rPr>
        <w:lastRenderedPageBreak/>
        <w:t xml:space="preserve">F. Vesiculosus </w:t>
      </w:r>
      <w:r>
        <w:t xml:space="preserve">and </w:t>
      </w:r>
      <w:r>
        <w:rPr>
          <w:i w:val="0"/>
          <w:iCs w:val="0"/>
        </w:rPr>
        <w:t>A. nodosum</w:t>
      </w:r>
      <w:r>
        <w:t xml:space="preserve"> Frequency Distribution</w:t>
      </w:r>
    </w:p>
    <w:p w14:paraId="4BE74137" w14:textId="77777777" w:rsidR="00FC5CA0" w:rsidRDefault="00FC5CA0" w:rsidP="00FC5CA0">
      <w:pPr>
        <w:pStyle w:val="BulkofText"/>
        <w:keepNext/>
      </w:pPr>
      <w:r>
        <w:rPr>
          <w:noProof/>
        </w:rPr>
        <w:drawing>
          <wp:inline distT="0" distB="0" distL="0" distR="0" wp14:anchorId="61FC3CD0" wp14:editId="3E970DDD">
            <wp:extent cx="5943600" cy="3667125"/>
            <wp:effectExtent l="0" t="0" r="0" b="9525"/>
            <wp:docPr id="623096817" name="Picture 5"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6817" name="Picture 5" descr="A graph of different sizes and colo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01BDA58A" w14:textId="002C679E" w:rsidR="00FC5CA0" w:rsidRDefault="00FC5CA0" w:rsidP="00FC5CA0">
      <w:pPr>
        <w:pStyle w:val="Caption"/>
      </w:pPr>
      <w:r>
        <w:t xml:space="preserve">Figure </w:t>
      </w:r>
      <w:fldSimple w:instr=" SEQ Figure \* ARABIC ">
        <w:r w:rsidR="0048495F">
          <w:rPr>
            <w:noProof/>
          </w:rPr>
          <w:t>4</w:t>
        </w:r>
      </w:fldSimple>
      <w:r>
        <w:t xml:space="preserve"> - Frequency distribution histograms for </w:t>
      </w:r>
      <w:r>
        <w:rPr>
          <w:i w:val="0"/>
          <w:iCs w:val="0"/>
        </w:rPr>
        <w:t xml:space="preserve">Fucus </w:t>
      </w:r>
      <w:r>
        <w:t xml:space="preserve">and </w:t>
      </w:r>
      <w:r>
        <w:rPr>
          <w:i w:val="0"/>
          <w:iCs w:val="0"/>
        </w:rPr>
        <w:t>Ascophyllum</w:t>
      </w:r>
      <w:r>
        <w:t xml:space="preserve"> percent cover values in NETN rocky intertidal photoplots.</w:t>
      </w:r>
      <w:r w:rsidR="00635B2F">
        <w:t xml:space="preserve"> Both target variables have heavily skewed distributions and are zero-inflated.</w:t>
      </w:r>
    </w:p>
    <w:p w14:paraId="63844857" w14:textId="77777777" w:rsidR="00FC5CA0" w:rsidRDefault="00FC5CA0" w:rsidP="00FC5CA0">
      <w:pPr>
        <w:pStyle w:val="BulkofText"/>
      </w:pPr>
      <w:r>
        <w:t xml:space="preserve">Both </w:t>
      </w:r>
      <w:r>
        <w:rPr>
          <w:i/>
          <w:iCs/>
        </w:rPr>
        <w:t xml:space="preserve">Fucus </w:t>
      </w:r>
      <w:r>
        <w:t xml:space="preserve">and </w:t>
      </w:r>
      <w:r>
        <w:rPr>
          <w:i/>
          <w:iCs/>
        </w:rPr>
        <w:t>Ascophyllum</w:t>
      </w:r>
      <w:r>
        <w:t xml:space="preserve"> have distributions weighted very heavily towards 0. This suggests strong spatial constraints on these species, as they are completely absent from most plots. Their next most common value is 100% cover, which suggests that, when they are present, they are able to do quite well in their niche. This zero-inflated distribution poses difficulties for modeling, as this will violate many common assumptions such as normality.</w:t>
      </w:r>
    </w:p>
    <w:p w14:paraId="64D82E10" w14:textId="77777777" w:rsidR="00FC5CA0" w:rsidRDefault="00FC5CA0" w:rsidP="00FC5CA0">
      <w:pPr>
        <w:pStyle w:val="Heading2"/>
      </w:pPr>
      <w:r>
        <w:rPr>
          <w:noProof/>
        </w:rPr>
        <w:lastRenderedPageBreak/>
        <mc:AlternateContent>
          <mc:Choice Requires="wps">
            <w:drawing>
              <wp:anchor distT="0" distB="0" distL="114300" distR="114300" simplePos="0" relativeHeight="251659264" behindDoc="0" locked="0" layoutInCell="1" allowOverlap="1" wp14:anchorId="7214A136" wp14:editId="1C7989CF">
                <wp:simplePos x="0" y="0"/>
                <wp:positionH relativeFrom="margin">
                  <wp:align>center</wp:align>
                </wp:positionH>
                <wp:positionV relativeFrom="paragraph">
                  <wp:posOffset>1270</wp:posOffset>
                </wp:positionV>
                <wp:extent cx="7305675" cy="457200"/>
                <wp:effectExtent l="0" t="0" r="9525" b="0"/>
                <wp:wrapNone/>
                <wp:docPr id="486522053" name="Text Box 1"/>
                <wp:cNvGraphicFramePr/>
                <a:graphic xmlns:a="http://schemas.openxmlformats.org/drawingml/2006/main">
                  <a:graphicData uri="http://schemas.microsoft.com/office/word/2010/wordprocessingShape">
                    <wps:wsp>
                      <wps:cNvSpPr txBox="1"/>
                      <wps:spPr>
                        <a:xfrm>
                          <a:off x="0" y="0"/>
                          <a:ext cx="7305675" cy="457200"/>
                        </a:xfrm>
                        <a:prstGeom prst="rect">
                          <a:avLst/>
                        </a:prstGeom>
                        <a:solidFill>
                          <a:prstClr val="white"/>
                        </a:solidFill>
                        <a:ln>
                          <a:noFill/>
                        </a:ln>
                      </wps:spPr>
                      <wps:txbx>
                        <w:txbxContent>
                          <w:p w14:paraId="1769BF48" w14:textId="53F7CDF5" w:rsidR="00FC5CA0" w:rsidRPr="003E5781" w:rsidRDefault="00FC5CA0" w:rsidP="00FC5CA0">
                            <w:pPr>
                              <w:pStyle w:val="Caption"/>
                              <w:rPr>
                                <w:noProof/>
                                <w:sz w:val="28"/>
                                <w:szCs w:val="28"/>
                              </w:rPr>
                            </w:pPr>
                            <w:r w:rsidRPr="003E5781">
                              <w:t xml:space="preserve">Table </w:t>
                            </w:r>
                            <w:fldSimple w:instr=" SEQ Table \* ARABIC ">
                              <w:r w:rsidR="00085F82">
                                <w:rPr>
                                  <w:noProof/>
                                </w:rPr>
                                <w:t>1</w:t>
                              </w:r>
                            </w:fldSimple>
                            <w:r w:rsidRPr="003E5781">
                              <w:t xml:space="preserve"> - Summary statistics for numeric variables including percent cover data, invertebrate abundance data, and invertebrate mean measurement data.</w:t>
                            </w:r>
                            <w:r>
                              <w:t xml:space="preserve"> Summary statistics include mean, median, standard deviation, minimum, maximum, skew, and kurtosis.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214A136" id="_x0000_t202" coordsize="21600,21600" o:spt="202" path="m,l,21600r21600,l21600,xe">
                <v:stroke joinstyle="miter"/>
                <v:path gradientshapeok="t" o:connecttype="rect"/>
              </v:shapetype>
              <v:shape id="Text Box 1" o:spid="_x0000_s1026" type="#_x0000_t202" style="position:absolute;left:0;text-align:left;margin-left:0;margin-top:.1pt;width:575.25pt;height:36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" stroked="f">
                <v:textbox inset="0,0,0,0">
                  <w:txbxContent>
                    <w:p w14:paraId="1769BF48" w14:textId="53F7CDF5" w:rsidR="00FC5CA0" w:rsidRPr="003E5781" w:rsidRDefault="00FC5CA0" w:rsidP="00FC5CA0">
                      <w:pPr>
                        <w:pStyle w:val="Caption"/>
                        <w:rPr>
                          <w:noProof/>
                          <w:sz w:val="28"/>
                          <w:szCs w:val="28"/>
                        </w:rPr>
                      </w:pPr>
                      <w:r w:rsidRPr="003E5781">
                        <w:t xml:space="preserve">Table </w:t>
                      </w:r>
                      <w:fldSimple w:instr=" SEQ Table \* ARABIC ">
                        <w:r w:rsidR="00085F82">
                          <w:rPr>
                            <w:noProof/>
                          </w:rPr>
                          <w:t>1</w:t>
                        </w:r>
                      </w:fldSimple>
                      <w:r w:rsidRPr="003E5781">
                        <w:t xml:space="preserve"> - Summary statistics for numeric variables including percent cover data, invertebrate abundance data, and invertebrate mean measurement data.</w:t>
                      </w:r>
                      <w:r>
                        <w:t xml:space="preserve"> Summary statistics include mean, median, standard deviation, minimum, maximum, skew, and kurtosis.</w:t>
                      </w:r>
                    </w:p>
                  </w:txbxContent>
                </v:textbox>
                <w10:wrap anchorx="margin"/>
              </v:shape>
            </w:pict>
          </mc:Fallback>
        </mc:AlternateContent>
      </w:r>
      <w:r>
        <w:rPr>
          <w:i w:val="0"/>
          <w:iCs w:val="0"/>
        </w:rPr>
        <w:t xml:space="preserve">F. Vesiculosus </w:t>
      </w:r>
      <w:r>
        <w:t xml:space="preserve">and </w:t>
      </w:r>
      <w:r>
        <w:rPr>
          <w:i w:val="0"/>
          <w:iCs w:val="0"/>
        </w:rPr>
        <w:t>A. nodosum</w:t>
      </w:r>
      <w:r>
        <w:t xml:space="preserve"> Frequency Distribution</w:t>
      </w:r>
    </w:p>
    <w:p w14:paraId="546C0157" w14:textId="77777777" w:rsidR="00FC5CA0" w:rsidRDefault="00FC5CA0" w:rsidP="00FC5CA0">
      <w:pPr>
        <w:pStyle w:val="BulkofText"/>
        <w:jc w:val="center"/>
      </w:pPr>
      <w:r>
        <w:rPr>
          <w:noProof/>
        </w:rPr>
        <w:drawing>
          <wp:inline distT="0" distB="0" distL="0" distR="0" wp14:anchorId="7DA880F8" wp14:editId="2CC9CC6A">
            <wp:extent cx="7416541" cy="3726363"/>
            <wp:effectExtent l="0" t="2857" r="0" b="0"/>
            <wp:docPr id="509222934" name="Picture 6" descr="A white background with many small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22934" name="Picture 6" descr="A white background with many small black and white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416541" cy="3726363"/>
                    </a:xfrm>
                    <a:prstGeom prst="rect">
                      <a:avLst/>
                    </a:prstGeom>
                    <a:noFill/>
                    <a:ln>
                      <a:noFill/>
                    </a:ln>
                  </pic:spPr>
                </pic:pic>
              </a:graphicData>
            </a:graphic>
          </wp:inline>
        </w:drawing>
      </w:r>
    </w:p>
    <w:p w14:paraId="4E7C452A" w14:textId="31482CA3" w:rsidR="00FC5CA0" w:rsidRPr="003E5781" w:rsidRDefault="00FC5CA0" w:rsidP="00FC5CA0">
      <w:pPr>
        <w:pStyle w:val="BulkofText"/>
      </w:pPr>
      <w:r>
        <w:lastRenderedPageBreak/>
        <w:t>Some immediately noteworthy trends in the summary statistics table are the high frequency of zeroes (many variables have a median value of zero), which suggests a very zero heavy dataset. Some variables have no data at all, which is either an error</w:t>
      </w:r>
      <w:r w:rsidR="001B4272">
        <w:t>, suppression,</w:t>
      </w:r>
      <w:r>
        <w:t xml:space="preserve"> or suggests total </w:t>
      </w:r>
      <w:bookmarkStart w:id="1" w:name="_Hlk206959401"/>
      <w:r>
        <w:t xml:space="preserve">absence from the plots. The target variables of </w:t>
      </w:r>
      <w:r>
        <w:rPr>
          <w:i/>
          <w:iCs/>
        </w:rPr>
        <w:t xml:space="preserve">F. vesiculosus </w:t>
      </w:r>
      <w:r>
        <w:t xml:space="preserve">(or </w:t>
      </w:r>
      <w:r>
        <w:rPr>
          <w:i/>
          <w:iCs/>
        </w:rPr>
        <w:t>spp.</w:t>
      </w:r>
      <w:r>
        <w:t>)</w:t>
      </w:r>
      <w:r>
        <w:rPr>
          <w:i/>
          <w:iCs/>
        </w:rPr>
        <w:t xml:space="preserve"> </w:t>
      </w:r>
      <w:r>
        <w:t xml:space="preserve">and </w:t>
      </w:r>
      <w:r>
        <w:rPr>
          <w:i/>
          <w:iCs/>
        </w:rPr>
        <w:t>A. nodosum</w:t>
      </w:r>
      <w:r>
        <w:t xml:space="preserve"> have moderately high average cover, but have high standard deviation, suggesting high variability in percent cover. They are both relatively present but also have spikes of high concentration in certain plots.</w:t>
      </w:r>
      <w:bookmarkEnd w:id="1"/>
    </w:p>
    <w:p w14:paraId="10763EF1" w14:textId="0FD0A37C" w:rsidR="00FC5CA0" w:rsidRDefault="001B4272" w:rsidP="00FC5CA0">
      <w:pPr>
        <w:pStyle w:val="Heading2"/>
        <w:rPr>
          <w:i w:val="0"/>
          <w:iCs w:val="0"/>
        </w:rPr>
      </w:pPr>
      <w:r>
        <w:rPr>
          <w:i w:val="0"/>
          <w:iCs w:val="0"/>
        </w:rPr>
        <w:t xml:space="preserve">Hellinger-Transformed </w:t>
      </w:r>
      <w:r w:rsidR="00FC5CA0">
        <w:rPr>
          <w:i w:val="0"/>
          <w:iCs w:val="0"/>
        </w:rPr>
        <w:t>Principal Component Analysis Scree Plot</w:t>
      </w:r>
    </w:p>
    <w:p w14:paraId="23595F7F" w14:textId="77777777" w:rsidR="00FC5CA0" w:rsidRDefault="00FC5CA0" w:rsidP="00FC5CA0">
      <w:pPr>
        <w:keepNext/>
      </w:pPr>
      <w:r>
        <w:rPr>
          <w:noProof/>
        </w:rPr>
        <w:drawing>
          <wp:inline distT="0" distB="0" distL="0" distR="0" wp14:anchorId="7D15260B" wp14:editId="5BCB98B0">
            <wp:extent cx="5942101" cy="3667125"/>
            <wp:effectExtent l="0" t="0" r="1905" b="0"/>
            <wp:docPr id="2004233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3521"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2101" cy="3667125"/>
                    </a:xfrm>
                    <a:prstGeom prst="rect">
                      <a:avLst/>
                    </a:prstGeom>
                    <a:noFill/>
                    <a:ln>
                      <a:noFill/>
                    </a:ln>
                  </pic:spPr>
                </pic:pic>
              </a:graphicData>
            </a:graphic>
          </wp:inline>
        </w:drawing>
      </w:r>
    </w:p>
    <w:p w14:paraId="36B14A9A" w14:textId="3643615F" w:rsidR="00FC5CA0" w:rsidRDefault="00FC5CA0" w:rsidP="00FC5CA0">
      <w:pPr>
        <w:pStyle w:val="Caption"/>
      </w:pPr>
      <w:r>
        <w:t xml:space="preserve">Figure </w:t>
      </w:r>
      <w:fldSimple w:instr=" SEQ Figure \* ARABIC ">
        <w:r w:rsidR="0048495F">
          <w:rPr>
            <w:noProof/>
          </w:rPr>
          <w:t>5</w:t>
        </w:r>
      </w:fldSimple>
      <w:r>
        <w:t xml:space="preserve"> </w:t>
      </w:r>
      <w:r w:rsidR="001B4272">
        <w:t>–</w:t>
      </w:r>
      <w:r>
        <w:t xml:space="preserve"> </w:t>
      </w:r>
      <w:r w:rsidR="001B4272">
        <w:t xml:space="preserve">Hellinger Transformed </w:t>
      </w:r>
      <w:r>
        <w:t>Principal Component Analysis proportion of variance explained by each principal component. Variance explained per PC is low, drops off precipitously between the first three PCs, and has a consistent but slow decline afterwards.</w:t>
      </w:r>
    </w:p>
    <w:p w14:paraId="5AD7CC1C" w14:textId="5D80637B" w:rsidR="001B4272" w:rsidRDefault="00FC5CA0" w:rsidP="001B4272">
      <w:pPr>
        <w:pStyle w:val="BulkofText"/>
      </w:pPr>
      <w:r>
        <w:t xml:space="preserve">The scree plot shows that each individual principal component from the PCA is capturing very little of the variability in the data. PC1 accounts for </w:t>
      </w:r>
      <w:r w:rsidR="001B4272">
        <w:t>around</w:t>
      </w:r>
      <w:r>
        <w:t xml:space="preserve"> </w:t>
      </w:r>
      <w:r w:rsidR="001B4272">
        <w:t>39</w:t>
      </w:r>
      <w:r>
        <w:t xml:space="preserve">% of the variability, and it takes a </w:t>
      </w:r>
      <w:r>
        <w:lastRenderedPageBreak/>
        <w:t>large number of PCs to explain the majority of the variability</w:t>
      </w:r>
      <w:r w:rsidR="001B4272">
        <w:t>, with a precipitous drop in variance explained after PC1</w:t>
      </w:r>
      <w:r>
        <w:t xml:space="preserve">. This suggests that the data is weakly structured and high dimensional. </w:t>
      </w:r>
    </w:p>
    <w:p w14:paraId="23BE30EE" w14:textId="77777777" w:rsidR="001B4272" w:rsidRDefault="001B4272" w:rsidP="001B4272">
      <w:pPr>
        <w:keepNext/>
      </w:pPr>
      <w:r>
        <w:rPr>
          <w:noProof/>
        </w:rPr>
        <w:drawing>
          <wp:inline distT="0" distB="0" distL="0" distR="0" wp14:anchorId="75A46737" wp14:editId="2057AD1B">
            <wp:extent cx="5942101" cy="3667124"/>
            <wp:effectExtent l="0" t="0" r="1905" b="0"/>
            <wp:docPr id="978510948"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0948" name="Picture 7" descr="A graph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2101" cy="3667124"/>
                    </a:xfrm>
                    <a:prstGeom prst="rect">
                      <a:avLst/>
                    </a:prstGeom>
                    <a:noFill/>
                    <a:ln>
                      <a:noFill/>
                    </a:ln>
                  </pic:spPr>
                </pic:pic>
              </a:graphicData>
            </a:graphic>
          </wp:inline>
        </w:drawing>
      </w:r>
    </w:p>
    <w:p w14:paraId="5267DD5F" w14:textId="2C29DFFD" w:rsidR="001B4272" w:rsidRDefault="001B4272" w:rsidP="001B4272">
      <w:pPr>
        <w:pStyle w:val="Caption"/>
      </w:pPr>
      <w:r>
        <w:t xml:space="preserve">Figure </w:t>
      </w:r>
      <w:r w:rsidR="00384144">
        <w:t>6</w:t>
      </w:r>
      <w:r>
        <w:t xml:space="preserve"> – </w:t>
      </w:r>
      <w:r w:rsidRPr="001B4272">
        <w:t>Non-parametric multidimensional scaling (NMDS)</w:t>
      </w:r>
      <w:r>
        <w:t xml:space="preserve"> clustering plot for intertidal community data in Acadia National Park. Black dots represent </w:t>
      </w:r>
      <w:r w:rsidR="00384144">
        <w:t>individual</w:t>
      </w:r>
      <w:r>
        <w:t xml:space="preserve"> observations while red crosses represent </w:t>
      </w:r>
      <w:r w:rsidR="00384144">
        <w:t>features</w:t>
      </w:r>
      <w:r>
        <w:t>. There is little</w:t>
      </w:r>
      <w:r w:rsidR="00384144">
        <w:t xml:space="preserve"> </w:t>
      </w:r>
      <w:r>
        <w:t>evidence of meaningful clustering</w:t>
      </w:r>
      <w:r w:rsidR="00384144">
        <w:t xml:space="preserve"> within observations or features, suggesting no clear path for reducing dimensionality. </w:t>
      </w:r>
    </w:p>
    <w:p w14:paraId="42370EE1" w14:textId="77777777" w:rsidR="0038274F" w:rsidRDefault="005765A2" w:rsidP="001B4272">
      <w:pPr>
        <w:pStyle w:val="BulkofText"/>
      </w:pPr>
      <w:r>
        <w:t>NMDS also failed to reveal any meaningful clustering, which suggests that there may not be an effective way to reduce dimensionality using unsupervised clustering methods. Non-parametric and decision tree models that do not fall victim to the curse of dimensionality and do not require normally distributed data may have the best performance when working with this dataset.</w:t>
      </w:r>
    </w:p>
    <w:p w14:paraId="5542A195" w14:textId="31BFB1D4" w:rsidR="0038274F" w:rsidRDefault="0038274F" w:rsidP="0038274F">
      <w:pPr>
        <w:pStyle w:val="Heading1"/>
        <w:spacing w:before="0"/>
      </w:pPr>
      <w:r>
        <w:lastRenderedPageBreak/>
        <w:t>Modeling Methods</w:t>
      </w:r>
    </w:p>
    <w:p w14:paraId="783DB4C8" w14:textId="51DE9936" w:rsidR="0038274F" w:rsidRPr="005C6FCA" w:rsidRDefault="0038274F" w:rsidP="0038274F">
      <w:pPr>
        <w:pStyle w:val="Heading2"/>
      </w:pPr>
      <w:r>
        <w:t>Data Preprocessing</w:t>
      </w:r>
    </w:p>
    <w:p w14:paraId="02F335AE" w14:textId="77777777" w:rsidR="0038274F" w:rsidRDefault="0038274F" w:rsidP="0038274F">
      <w:pPr>
        <w:pStyle w:val="BulkofText"/>
      </w:pPr>
      <w:r>
        <w:t xml:space="preserve">Multiple transformations were tested to address the zero-inflated nature of the data, in order to open up the linear regression family of models, which generally assume normally distributed data. </w:t>
      </w:r>
    </w:p>
    <w:p w14:paraId="23A29D85" w14:textId="336A13BF" w:rsidR="0038274F" w:rsidRDefault="0038274F" w:rsidP="0038274F">
      <w:pPr>
        <w:pStyle w:val="Heading3"/>
      </w:pPr>
      <w:r>
        <w:t>Square Root Transformation</w:t>
      </w:r>
    </w:p>
    <w:p w14:paraId="724D4CD2" w14:textId="615F5DB1" w:rsidR="0038274F" w:rsidRDefault="0038274F" w:rsidP="0038274F">
      <w:pPr>
        <w:pStyle w:val="BulkofText"/>
      </w:pPr>
      <w:r>
        <w:t>A square root transformation was used as a conservative starting point. The square root transformation did not result in a meaningful improvement in the distribution of the target variables, leaving both of them still skewed heavily towards zero.</w:t>
      </w:r>
    </w:p>
    <w:p w14:paraId="0F6B38C7" w14:textId="164A0053" w:rsidR="0038274F" w:rsidRDefault="0038274F" w:rsidP="0038274F">
      <w:pPr>
        <w:pStyle w:val="Heading3"/>
      </w:pPr>
      <w:r>
        <w:t>Log (x + 1) Transformation</w:t>
      </w:r>
    </w:p>
    <w:p w14:paraId="50D4C62F" w14:textId="093F87C8" w:rsidR="0038274F" w:rsidRDefault="0038274F" w:rsidP="0038274F">
      <w:pPr>
        <w:pStyle w:val="BulkofText"/>
      </w:pPr>
      <w:r>
        <w:t>The Log (X + 1) transformation is intended to address right-skewed data that still contains zeroes. While this data is heavily zero-inflated and therefore left-skewed, the non-zero data is actually skewed to the right, giving this transformation possible merit. However, this transformation did not do much to ameliorate the zero skewed distribution.</w:t>
      </w:r>
    </w:p>
    <w:p w14:paraId="792B475C" w14:textId="487FC716" w:rsidR="0038274F" w:rsidRDefault="0038274F" w:rsidP="0038274F">
      <w:pPr>
        <w:pStyle w:val="Heading3"/>
      </w:pPr>
      <w:r>
        <w:t>Presence - Absence Transformation</w:t>
      </w:r>
    </w:p>
    <w:p w14:paraId="33EDEAC5" w14:textId="7C5944AE" w:rsidR="0038274F" w:rsidRDefault="0038274F" w:rsidP="0038274F">
      <w:pPr>
        <w:pStyle w:val="BulkofText"/>
      </w:pPr>
      <w:r>
        <w:t>As a drastic measure, all the count and percent cover variables were converted to presence-absence data. While this did improve the distribution of the data meaningfully, it dramatically reduces the efficacy of the data and the interpretability of it. In the end it was deemed too limiting of a transformation to continue with.</w:t>
      </w:r>
    </w:p>
    <w:p w14:paraId="1917DAA6" w14:textId="32DB86CE" w:rsidR="0038274F" w:rsidRDefault="0038274F" w:rsidP="0038274F">
      <w:pPr>
        <w:pStyle w:val="Heading3"/>
      </w:pPr>
      <w:r>
        <w:lastRenderedPageBreak/>
        <w:t>Logit Transformation</w:t>
      </w:r>
    </w:p>
    <w:p w14:paraId="06F5A717" w14:textId="229A33B0" w:rsidR="0038274F" w:rsidRDefault="0038274F" w:rsidP="0038274F">
      <w:pPr>
        <w:pStyle w:val="BulkofText"/>
      </w:pPr>
      <w:r>
        <w:t>The logit transformation is generally used to transform probability data bounded between 0 and 1 into log odd</w:t>
      </w:r>
      <w:r w:rsidR="00577B25">
        <w:t xml:space="preserve">s, which is unbounded, ranging from positive to negative infinity. While this dataset does not contain probability data, it does contain percent cover data, which is similarly bounded between 0 and 100. A logit transformation was applied to only the percent cover variables, as the abundance data is not properly bounded. </w:t>
      </w:r>
      <w:r w:rsidR="00D95954" w:rsidRPr="00D95954">
        <w:t xml:space="preserve">The logit transformation with an epsilon of 0.0001 was fairly successful in reducing the skew of the data, with the untransformed Ascophyllum and Fucus having skew values of 1.282 and 0.672, respectively, and the transformed </w:t>
      </w:r>
      <w:r w:rsidR="00D95954" w:rsidRPr="00D95954">
        <w:rPr>
          <w:i/>
          <w:iCs/>
        </w:rPr>
        <w:t>Ascophyllum</w:t>
      </w:r>
      <w:r w:rsidR="00D95954" w:rsidRPr="00D95954">
        <w:t xml:space="preserve"> and </w:t>
      </w:r>
      <w:r w:rsidR="00D95954" w:rsidRPr="00D95954">
        <w:rPr>
          <w:i/>
          <w:iCs/>
        </w:rPr>
        <w:t>Fucus</w:t>
      </w:r>
      <w:r w:rsidR="00D95954" w:rsidRPr="00D95954">
        <w:t xml:space="preserve"> having skew values of 0.767 and 0.067, respectively. This represents a more symmetrical distribution post-transformation which should improve model performance.</w:t>
      </w:r>
    </w:p>
    <w:p w14:paraId="7C129030" w14:textId="4D55530F" w:rsidR="00577B25" w:rsidRPr="005C6FCA" w:rsidRDefault="00577B25" w:rsidP="00577B25">
      <w:pPr>
        <w:pStyle w:val="Heading2"/>
      </w:pPr>
      <w:r>
        <w:t>Feature Selection</w:t>
      </w:r>
    </w:p>
    <w:p w14:paraId="44368ED6" w14:textId="121E89D1" w:rsidR="00577B25" w:rsidRPr="0038274F" w:rsidRDefault="00D95954" w:rsidP="00D95954">
      <w:pPr>
        <w:pStyle w:val="Heading3"/>
      </w:pPr>
      <w:r>
        <w:t>Manual Feature Selection</w:t>
      </w:r>
    </w:p>
    <w:p w14:paraId="41ECF8D9" w14:textId="47C41A25" w:rsidR="00D95954" w:rsidRDefault="00D95954" w:rsidP="00D95954">
      <w:pPr>
        <w:pStyle w:val="BulkofText"/>
      </w:pPr>
      <w:r w:rsidRPr="00D95954">
        <w:t xml:space="preserve">Location name, target species, and plot name were manually removed. Location name was first filtered to only include observations from Acadia National Park, then was removed as a column, as this analysis is only focused on Acadia, not the Boston Harbor Islands. Target species, the value referring to the original target species of the plot (i.e., Ascophyllum plots, red algae plots, etc.) was removed, as separating the site into areas that are historically associated with a specific species is not a helpful lens for this analysis. Plot name was removed, as they are arbitrary labels for the different plots (i.e., R5 for the fifth red algae plot on any given site) and do not contain any meaningful information. There is no meaningful comparison between an R5 </w:t>
      </w:r>
      <w:r w:rsidRPr="00D95954">
        <w:lastRenderedPageBreak/>
        <w:t xml:space="preserve">plot on one site and an R5 plot on another, aside from the fact that they are both in the red algae area. </w:t>
      </w:r>
    </w:p>
    <w:p w14:paraId="0CA22DC1" w14:textId="0CDE8241" w:rsidR="00D95954" w:rsidRPr="0038274F" w:rsidRDefault="00D95954" w:rsidP="00D95954">
      <w:pPr>
        <w:pStyle w:val="Heading3"/>
      </w:pPr>
      <w:r>
        <w:t>Unsupervised Feature Selection</w:t>
      </w:r>
    </w:p>
    <w:p w14:paraId="09BBD03B" w14:textId="77777777" w:rsidR="00C72D66" w:rsidRDefault="00D95954" w:rsidP="00D95954">
      <w:pPr>
        <w:pStyle w:val="BulkofText"/>
      </w:pPr>
      <w:r>
        <w:t xml:space="preserve">Two out-of-bag random forest models were run with </w:t>
      </w:r>
      <w:r>
        <w:rPr>
          <w:i/>
          <w:iCs/>
        </w:rPr>
        <w:t xml:space="preserve">F. vesiculosus </w:t>
      </w:r>
      <w:r>
        <w:t xml:space="preserve">and </w:t>
      </w:r>
      <w:r>
        <w:rPr>
          <w:i/>
          <w:iCs/>
        </w:rPr>
        <w:t>A. nodosum</w:t>
      </w:r>
      <w:r>
        <w:t xml:space="preserve"> as target variables, with all other variables as predictors. Importance metrics, represented by percent increase in mean squared error (%</w:t>
      </w:r>
      <w:proofErr w:type="spellStart"/>
      <w:r>
        <w:t>incMSE</w:t>
      </w:r>
      <w:proofErr w:type="spellEnd"/>
      <w:r>
        <w:t>) were pulled from both models. Any feature with a percent increase in mean squared error of 0 or below for either target species was removed from the dataset. Percent increase in mean squared error in this instance is a measure of how much the mean squared error increases when an individual variable is imputed randomly. This means that values of zero represent variables that are not significantly contributing to the model’s performance, and, in the case of negative values, are actively adding noise.</w:t>
      </w:r>
    </w:p>
    <w:p w14:paraId="67AAA0FE" w14:textId="1247D58E" w:rsidR="00C72D66" w:rsidRDefault="00C72D66" w:rsidP="00374B7D">
      <w:pPr>
        <w:pStyle w:val="Heading1"/>
        <w:spacing w:before="0"/>
      </w:pPr>
      <w:r>
        <w:t>Model</w:t>
      </w:r>
      <w:r w:rsidR="000501AD">
        <w:t>ing Methodology</w:t>
      </w:r>
    </w:p>
    <w:p w14:paraId="4DC906E7" w14:textId="7DA82549" w:rsidR="000501AD" w:rsidRPr="000501AD" w:rsidRDefault="000501AD" w:rsidP="000501AD">
      <w:pPr>
        <w:pStyle w:val="BulkofText"/>
      </w:pPr>
      <w:r>
        <w:t xml:space="preserve">Prior to any modeling, a time lagged version of the data was created, lagged by one year. This allows for the use of time lagged regression models to actually predict the percent cover of </w:t>
      </w:r>
      <w:r>
        <w:rPr>
          <w:i/>
          <w:iCs/>
        </w:rPr>
        <w:t xml:space="preserve">A. nodosum </w:t>
      </w:r>
      <w:r>
        <w:t xml:space="preserve">and </w:t>
      </w:r>
      <w:r>
        <w:rPr>
          <w:i/>
          <w:iCs/>
        </w:rPr>
        <w:t>F. vesiculosus</w:t>
      </w:r>
      <w:r>
        <w:t xml:space="preserve">, rather than </w:t>
      </w:r>
      <w:r w:rsidR="00007B9B">
        <w:t xml:space="preserve">just descriptive models for within years. To that end, a training-testing split was created by selecting 2018 as an entire year of held out data, as it is the most recent year in the available data. 2013 – 2017 serve as the training set for training the models, with the goal of accurately predicting the values contained within 2018. </w:t>
      </w:r>
    </w:p>
    <w:p w14:paraId="5203ACC1" w14:textId="08700DAB" w:rsidR="00C72D66" w:rsidRDefault="00C72D66" w:rsidP="00C72D66">
      <w:pPr>
        <w:pStyle w:val="Heading2"/>
      </w:pPr>
      <w:r>
        <w:t xml:space="preserve">Random Forest </w:t>
      </w:r>
      <w:r>
        <w:rPr>
          <w:i w:val="0"/>
          <w:iCs w:val="0"/>
        </w:rPr>
        <w:t>(</w:t>
      </w:r>
      <w:r>
        <w:t>untransformed and logit-transformed</w:t>
      </w:r>
      <w:r>
        <w:rPr>
          <w:i w:val="0"/>
          <w:iCs w:val="0"/>
        </w:rPr>
        <w:t>)</w:t>
      </w:r>
    </w:p>
    <w:p w14:paraId="22949B20" w14:textId="0CD18E76" w:rsidR="00C72D66" w:rsidRDefault="00C72D66" w:rsidP="00C72D66">
      <w:pPr>
        <w:pStyle w:val="BulkofText"/>
      </w:pPr>
      <w:r>
        <w:t>Random Forest models were tuned by adjusting two primary hyperparameters: the number of trees grown and the number of predictor variables randomly sampled at each split (</w:t>
      </w:r>
      <w:proofErr w:type="spellStart"/>
      <w:r w:rsidRPr="00C72D66">
        <w:rPr>
          <w:i/>
          <w:iCs/>
        </w:rPr>
        <w:t>mtry</w:t>
      </w:r>
      <w:proofErr w:type="spellEnd"/>
      <w:r>
        <w:t>).</w:t>
      </w:r>
    </w:p>
    <w:p w14:paraId="0F8A1D45" w14:textId="36D519CD" w:rsidR="00C72D66" w:rsidRDefault="00C72D66" w:rsidP="00C72D66">
      <w:pPr>
        <w:pStyle w:val="BulkofText"/>
      </w:pPr>
      <w:r>
        <w:lastRenderedPageBreak/>
        <w:t>The number of trees was cross validated along a sequence from 1 to 1000, in increments of 50. This range provided a sufficiently broad range combined with a relatively granular step size for optimizing performance. Efficiency was not quantified, though noticeable increases in runtime with this hyperparameter matrix.</w:t>
      </w:r>
    </w:p>
    <w:p w14:paraId="2D3A7D22" w14:textId="1E8A5608" w:rsidR="00C72D66" w:rsidRDefault="00C72D66" w:rsidP="00C72D66">
      <w:pPr>
        <w:pStyle w:val="BulkofText"/>
      </w:pPr>
      <w:r>
        <w:t xml:space="preserve">For </w:t>
      </w:r>
      <w:proofErr w:type="spellStart"/>
      <w:r w:rsidRPr="00C72D66">
        <w:rPr>
          <w:i/>
          <w:iCs/>
        </w:rPr>
        <w:t>mtry</w:t>
      </w:r>
      <w:proofErr w:type="spellEnd"/>
      <w:r>
        <w:t>, values ranging from 2 up to the total number of predictors were tested in increments of 2. The lower bound of 2 was selected to avoid overly simplistic splits, while the inclusion of the full predictor set allowed the model to make full use of the data.</w:t>
      </w:r>
    </w:p>
    <w:p w14:paraId="384E9553" w14:textId="77777777" w:rsidR="00C72D66" w:rsidRDefault="00C72D66" w:rsidP="00C72D66">
      <w:pPr>
        <w:pStyle w:val="BulkofText"/>
      </w:pPr>
      <w:r>
        <w:t>All combinations of hyperparameters were evaluated in a nested loop. Model performance was tracked using R², mean squared error (MSE), and root mean squared error (RMSE). The best-performing model was selected based on the lowest MSE/RMSE, ensuring optimization for unseen test data rather than training data. This prevented selection of an overfit model, despite the large hyperparameter ranges and number of parameters which may allow for overfitting through high complexity.</w:t>
      </w:r>
    </w:p>
    <w:p w14:paraId="39C37542" w14:textId="4A1D434B" w:rsidR="00C72D66" w:rsidRDefault="003B246D" w:rsidP="00C72D66">
      <w:pPr>
        <w:pStyle w:val="Heading2"/>
      </w:pPr>
      <w:r>
        <w:t>e</w:t>
      </w:r>
      <w:r w:rsidR="00C72D66">
        <w:t>X</w:t>
      </w:r>
      <w:r>
        <w:t xml:space="preserve">treme </w:t>
      </w:r>
      <w:r w:rsidR="00C72D66">
        <w:t>G</w:t>
      </w:r>
      <w:r>
        <w:t xml:space="preserve">radient </w:t>
      </w:r>
      <w:r w:rsidR="00C72D66">
        <w:t>Boost</w:t>
      </w:r>
      <w:r>
        <w:t>ing</w:t>
      </w:r>
    </w:p>
    <w:p w14:paraId="7AF2EF11" w14:textId="504B9415" w:rsidR="00374B7D" w:rsidRDefault="00C72D66" w:rsidP="00C72D66">
      <w:pPr>
        <w:pStyle w:val="BulkofText"/>
      </w:pPr>
      <w:r>
        <w:t>An</w:t>
      </w:r>
      <w:r w:rsidR="003B246D">
        <w:t xml:space="preserve"> </w:t>
      </w:r>
      <w:r w:rsidR="003B246D" w:rsidRPr="003B246D">
        <w:t>eXtreme Gradient Boosting</w:t>
      </w:r>
      <w:r w:rsidR="003B246D">
        <w:t xml:space="preserve"> (</w:t>
      </w:r>
      <w:r>
        <w:t>XGBoost</w:t>
      </w:r>
      <w:r w:rsidR="003B246D">
        <w:t>)</w:t>
      </w:r>
      <w:r>
        <w:t xml:space="preserve"> model was trained on the untransformed data, using a similar nested loop structure for hyperparameter tuning. Since XGBoost has a larger number of relevant hyperparameters than Random Forest, the hyperparameter matrix was more restricted by computational efficiency. Learning rate</w:t>
      </w:r>
      <w:r w:rsidR="00374B7D">
        <w:t xml:space="preserve"> (</w:t>
      </w:r>
      <w:r w:rsidR="00374B7D" w:rsidRPr="00374B7D">
        <w:t>η</w:t>
      </w:r>
      <w:r w:rsidR="00374B7D">
        <w:t xml:space="preserve">) was tested across values of 0.05, 0.1, and 0.2. Moderate values were selected as a high learning rate resulted in the model fixing to the high number of zeroes in the data. Maximum tree depth was tested at 3, 5, and 7 to avoid </w:t>
      </w:r>
      <w:proofErr w:type="gramStart"/>
      <w:r w:rsidR="00374B7D">
        <w:t>overfitting to</w:t>
      </w:r>
      <w:proofErr w:type="gramEnd"/>
      <w:r w:rsidR="00374B7D">
        <w:t xml:space="preserve"> the sparse data and relatively small number of years in the sample size. Row </w:t>
      </w:r>
      <w:r w:rsidR="00374B7D">
        <w:lastRenderedPageBreak/>
        <w:t xml:space="preserve">subsampling was restricted to moderate values of 0.7 and 0.8, as well as just sampling the entire set with a value of 1. These moderate values were meant to introduce some stochasticity into the data to help counteract the static nature of sampling the same plots at regular intervals. Random feature sampling per tree was also kept at moderate values of 0.7, 0.8, and, as a baseline, 1. The values here introduce more stochasticity and also allow less impactful features to be examined, when the more dominant features are randomly selected out of the model. </w:t>
      </w:r>
    </w:p>
    <w:p w14:paraId="07406F68" w14:textId="0E4C59A3" w:rsidR="003B246D" w:rsidRDefault="003B246D" w:rsidP="003B246D">
      <w:pPr>
        <w:pStyle w:val="Heading2"/>
      </w:pPr>
      <w:r>
        <w:t>Model Evaluation</w:t>
      </w:r>
    </w:p>
    <w:p w14:paraId="553EDC1D" w14:textId="59868492" w:rsidR="003B246D" w:rsidRDefault="003B246D" w:rsidP="003B246D">
      <w:pPr>
        <w:pStyle w:val="BulkofText"/>
      </w:pPr>
      <w:r>
        <w:t xml:space="preserve">All three models were evaluated based on their R², MSE, and RMSE values, and were compared to the baseline of predicting purely using the lagged variables. The results are summarized in Table 2, which shows that both XGBoost and the untransformed Random Forest perform well, with high R² values and relatively low MSE values, while the logit-transformed Random Forest performed comparatively poorly. Both the untransformed Random Forest and the XGBoost models were more accurately able to predict the percent cover value of </w:t>
      </w:r>
      <w:r>
        <w:rPr>
          <w:i/>
          <w:iCs/>
        </w:rPr>
        <w:t xml:space="preserve">A. nodosum </w:t>
      </w:r>
      <w:r>
        <w:t xml:space="preserve">than </w:t>
      </w:r>
      <w:r>
        <w:rPr>
          <w:i/>
          <w:iCs/>
        </w:rPr>
        <w:t>F. vesiculosus</w:t>
      </w:r>
      <w:r>
        <w:t xml:space="preserve">. Both models represent only moderate improvement over the baseline, with between a ~10% and ~20% reduction in MSE magnitude. XGBoost narrowly outperforms Random Forest for predicting both target variables and is computationally more efficient while still maintaining interpretability via </w:t>
      </w:r>
      <w:proofErr w:type="gramStart"/>
      <w:r>
        <w:t>importance</w:t>
      </w:r>
      <w:proofErr w:type="gramEnd"/>
      <w:r>
        <w:t xml:space="preserve"> metrics, so it is the standout model here.</w:t>
      </w:r>
    </w:p>
    <w:p w14:paraId="155614D5" w14:textId="77777777" w:rsidR="003B246D" w:rsidRDefault="003B246D">
      <w:pPr>
        <w:rPr>
          <w:rFonts w:ascii="Calibri" w:hAnsi="Calibri" w:cs="Calibri"/>
          <w:b/>
          <w:bCs/>
          <w:i/>
          <w:iCs/>
          <w:sz w:val="16"/>
          <w:szCs w:val="16"/>
        </w:rPr>
      </w:pPr>
      <w:r>
        <w:br w:type="page"/>
      </w:r>
    </w:p>
    <w:p w14:paraId="702F9D67" w14:textId="5A8FB345" w:rsidR="003B246D" w:rsidRDefault="003B246D" w:rsidP="003B246D">
      <w:pPr>
        <w:pStyle w:val="Caption"/>
        <w:keepNext/>
      </w:pPr>
      <w:r>
        <w:lastRenderedPageBreak/>
        <w:t xml:space="preserve">Table </w:t>
      </w:r>
      <w:fldSimple w:instr=" SEQ Table \* ARABIC ">
        <w:r w:rsidR="00085F82">
          <w:rPr>
            <w:noProof/>
          </w:rPr>
          <w:t>2</w:t>
        </w:r>
      </w:fldSimple>
      <w:r>
        <w:t xml:space="preserve"> - Summary table comparing Random Forest, Logit-transformed Random Forest, and XGBoost model performance over baseline predictions generated directly from the 1-year lag terms. Untransformed Random Forest and XGBoost show moderate improvements in performance over the baseline, which is already a strong predictor for the following year. Logit-transformed Random Forest (with back-transformed MSE and RMSE values) shows a proportionally larger increase in performance compared to baseline, though the overall performance remains lower than the other two models. XGBoost performs the best for predicting both Ascophyllum and Fucus percent cover in future years / held out test data.</w:t>
      </w:r>
    </w:p>
    <w:p w14:paraId="6FC54865" w14:textId="0D0DC43F" w:rsidR="003B246D" w:rsidRDefault="003B246D" w:rsidP="003B246D">
      <w:pPr>
        <w:pStyle w:val="BulkofText"/>
      </w:pPr>
      <w:r>
        <w:rPr>
          <w:noProof/>
        </w:rPr>
        <w:drawing>
          <wp:inline distT="0" distB="0" distL="0" distR="0" wp14:anchorId="3FE05F29" wp14:editId="5B2C1C91">
            <wp:extent cx="5943600" cy="5250180"/>
            <wp:effectExtent l="0" t="0" r="0" b="7620"/>
            <wp:docPr id="1364913729"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3729" name="Picture 3" descr="A screen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50180"/>
                    </a:xfrm>
                    <a:prstGeom prst="rect">
                      <a:avLst/>
                    </a:prstGeom>
                    <a:noFill/>
                    <a:ln>
                      <a:noFill/>
                    </a:ln>
                  </pic:spPr>
                </pic:pic>
              </a:graphicData>
            </a:graphic>
          </wp:inline>
        </w:drawing>
      </w:r>
    </w:p>
    <w:p w14:paraId="4B474E62" w14:textId="0F7D3879" w:rsidR="003B246D" w:rsidRDefault="003B246D" w:rsidP="003B246D">
      <w:pPr>
        <w:pStyle w:val="Heading2"/>
      </w:pPr>
      <w:r>
        <w:t>eXtreme Gradient Boosting Model Interpretation</w:t>
      </w:r>
    </w:p>
    <w:p w14:paraId="1AD3F981" w14:textId="7C7C306D" w:rsidR="00374B7D" w:rsidRDefault="000501AD" w:rsidP="003B246D">
      <w:pPr>
        <w:pStyle w:val="BulkofText"/>
      </w:pPr>
      <w:r>
        <w:t xml:space="preserve">The optimal hyperparameters for the XGBoost model (detailed in Table 3) illustrate a difference in the learning patterns of the model when predicting </w:t>
      </w:r>
      <w:r>
        <w:rPr>
          <w:i/>
          <w:iCs/>
        </w:rPr>
        <w:t xml:space="preserve">A. nodosum </w:t>
      </w:r>
      <w:r>
        <w:t xml:space="preserve">compared to </w:t>
      </w:r>
      <w:r>
        <w:rPr>
          <w:i/>
          <w:iCs/>
        </w:rPr>
        <w:t>F. vesiculosus</w:t>
      </w:r>
      <w:r>
        <w:t xml:space="preserve">. When predicting </w:t>
      </w:r>
      <w:r>
        <w:rPr>
          <w:i/>
          <w:iCs/>
        </w:rPr>
        <w:t>A. nodosum</w:t>
      </w:r>
      <w:r>
        <w:t xml:space="preserve">, </w:t>
      </w:r>
      <w:r w:rsidR="00085F82">
        <w:t xml:space="preserve">the model prefers an aggressive approach with a </w:t>
      </w:r>
      <w:r w:rsidR="00F44EF2">
        <w:t xml:space="preserve">higher learning </w:t>
      </w:r>
      <w:r w:rsidR="00F44EF2">
        <w:lastRenderedPageBreak/>
        <w:t>rate (</w:t>
      </w:r>
      <w:r w:rsidR="00F44EF2" w:rsidRPr="00374B7D">
        <w:t>η</w:t>
      </w:r>
      <w:r w:rsidR="00F44EF2">
        <w:t xml:space="preserve">) and a smaller number of boosting rounds. The model also prefers moderate subsampling of both features and observations. This suggests that, when predicting </w:t>
      </w:r>
      <w:r w:rsidR="00F44EF2">
        <w:rPr>
          <w:i/>
          <w:iCs/>
        </w:rPr>
        <w:t>Ascophyllum</w:t>
      </w:r>
      <w:r w:rsidR="00F44EF2">
        <w:t>, the model is able to relatively quickly fix to the data and generate its optimal predictions.</w:t>
      </w:r>
    </w:p>
    <w:p w14:paraId="114F34D1" w14:textId="08614EC2" w:rsidR="00374B7D" w:rsidRDefault="00F44EF2" w:rsidP="00C72D66">
      <w:pPr>
        <w:pStyle w:val="BulkofText"/>
      </w:pPr>
      <w:r>
        <w:t xml:space="preserve">When predicting </w:t>
      </w:r>
      <w:r>
        <w:rPr>
          <w:i/>
          <w:iCs/>
        </w:rPr>
        <w:t>Fucus</w:t>
      </w:r>
      <w:r>
        <w:t>, the model prefers a more conservative approach, with a moderately low learning rate (</w:t>
      </w:r>
      <w:r w:rsidRPr="00374B7D">
        <w:t>η</w:t>
      </w:r>
      <w:r>
        <w:t xml:space="preserve">) and a high number of boosting rounds. This model still prefers a moderate subsampling of features to introduce diversity into trees but does best when incorporating the entire sample of observations. This suggests that the relationships present that contribute to </w:t>
      </w:r>
      <w:r>
        <w:rPr>
          <w:i/>
          <w:iCs/>
        </w:rPr>
        <w:t>Fucus</w:t>
      </w:r>
      <w:r>
        <w:t xml:space="preserve"> percent cover may be more complex and difficult to sort out for the model, requiring a more methodical, thorough, and computationally slow approach.</w:t>
      </w:r>
    </w:p>
    <w:p w14:paraId="68530106" w14:textId="2963A2F7" w:rsidR="00085F82" w:rsidRDefault="00085F82" w:rsidP="00085F82">
      <w:pPr>
        <w:pStyle w:val="Caption"/>
        <w:keepNext/>
      </w:pPr>
      <w:r>
        <w:t xml:space="preserve">Table </w:t>
      </w:r>
      <w:fldSimple w:instr=" SEQ Table \* ARABIC ">
        <w:r>
          <w:rPr>
            <w:noProof/>
          </w:rPr>
          <w:t>3</w:t>
        </w:r>
      </w:fldSimple>
      <w:r>
        <w:t xml:space="preserve"> - Optimal hyperparameters for XGBoost model. When predicting Ascophyllum, the model prefers a more aggressive approach with a high learning rate and a lower number of boosting rounds. When predicting Fucus, the model prefers a more conservative approach with a moderate learning rate, a larger number of boosting rounds, and inclusion of all observations.</w:t>
      </w:r>
    </w:p>
    <w:p w14:paraId="4A250AFA" w14:textId="77777777" w:rsidR="00F44EF2" w:rsidRDefault="00085F82" w:rsidP="00C72D66">
      <w:pPr>
        <w:pStyle w:val="BulkofText"/>
      </w:pPr>
      <w:r>
        <w:rPr>
          <w:noProof/>
        </w:rPr>
        <w:drawing>
          <wp:inline distT="0" distB="0" distL="0" distR="0" wp14:anchorId="042E87B4" wp14:editId="549D2CBA">
            <wp:extent cx="5943600" cy="1409700"/>
            <wp:effectExtent l="0" t="0" r="0" b="0"/>
            <wp:docPr id="670628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6175DDCD" w14:textId="44628EF2" w:rsidR="00F44EF2" w:rsidRDefault="00F44EF2" w:rsidP="00F44EF2">
      <w:pPr>
        <w:pStyle w:val="Heading2"/>
      </w:pPr>
      <w:r w:rsidRPr="00F44EF2">
        <w:t>SHapley Additive exPlanations</w:t>
      </w:r>
    </w:p>
    <w:p w14:paraId="0336B8BC" w14:textId="77777777" w:rsidR="0048495F" w:rsidRDefault="00F44EF2" w:rsidP="00F44EF2">
      <w:pPr>
        <w:pStyle w:val="BulkofText"/>
      </w:pPr>
      <w:r w:rsidRPr="00F44EF2">
        <w:t>SHapley Additive exPlanations</w:t>
      </w:r>
      <w:r>
        <w:t xml:space="preserve"> (SHAP) was used to explore the importance of each predictor in contributing to model predictions of </w:t>
      </w:r>
      <w:r>
        <w:rPr>
          <w:i/>
          <w:iCs/>
        </w:rPr>
        <w:t xml:space="preserve">Ascophyllum </w:t>
      </w:r>
      <w:r>
        <w:t xml:space="preserve">and </w:t>
      </w:r>
      <w:r>
        <w:rPr>
          <w:i/>
          <w:iCs/>
        </w:rPr>
        <w:t>Fucus</w:t>
      </w:r>
      <w:r>
        <w:t xml:space="preserve">. </w:t>
      </w:r>
      <w:r w:rsidR="0048495F">
        <w:t xml:space="preserve">Figures 6 and 7 examine SHAP plots for prediction of </w:t>
      </w:r>
      <w:r w:rsidR="0048495F">
        <w:rPr>
          <w:i/>
          <w:iCs/>
        </w:rPr>
        <w:t xml:space="preserve">A. nodosum </w:t>
      </w:r>
      <w:r w:rsidR="0048495F">
        <w:t xml:space="preserve">and </w:t>
      </w:r>
      <w:r w:rsidR="0048495F">
        <w:rPr>
          <w:i/>
          <w:iCs/>
        </w:rPr>
        <w:t>F. vesiculosus</w:t>
      </w:r>
      <w:r w:rsidR="0048495F" w:rsidRPr="0048495F">
        <w:t>,</w:t>
      </w:r>
      <w:r w:rsidR="0048495F">
        <w:t xml:space="preserve"> respectively. High values for a predictor indicate a strong influence on model performance; high SHAP values indicate a positive </w:t>
      </w:r>
      <w:r w:rsidR="0048495F">
        <w:lastRenderedPageBreak/>
        <w:t xml:space="preserve">correlation with the target variable (an increase in percent cover) while negative values indicate a negative correlation with the target variable (a decrease in percent cover). Model values are included to indicate how high and low values influence the target variables. </w:t>
      </w:r>
    </w:p>
    <w:p w14:paraId="3F3C4979" w14:textId="4008E73B" w:rsidR="0048495F" w:rsidRPr="008E0E03" w:rsidRDefault="0048495F" w:rsidP="00F44EF2">
      <w:pPr>
        <w:pStyle w:val="BulkofText"/>
      </w:pPr>
      <w:r>
        <w:t xml:space="preserve">Figure 6 shows that the strongest predictors of </w:t>
      </w:r>
      <w:r>
        <w:rPr>
          <w:i/>
          <w:iCs/>
        </w:rPr>
        <w:t xml:space="preserve">A. nodosum </w:t>
      </w:r>
      <w:r>
        <w:t xml:space="preserve">percent cover are the previous year’s percent cover of </w:t>
      </w:r>
      <w:r>
        <w:rPr>
          <w:i/>
          <w:iCs/>
        </w:rPr>
        <w:t>A. nodosum</w:t>
      </w:r>
      <w:r>
        <w:rPr>
          <w:i/>
          <w:iCs/>
        </w:rPr>
        <w:t xml:space="preserve"> </w:t>
      </w:r>
      <w:r>
        <w:t xml:space="preserve">(SHAP = 16.238), followed by </w:t>
      </w:r>
      <w:r>
        <w:rPr>
          <w:i/>
          <w:iCs/>
        </w:rPr>
        <w:t>A</w:t>
      </w:r>
      <w:r>
        <w:rPr>
          <w:i/>
          <w:iCs/>
        </w:rPr>
        <w:t xml:space="preserve">scophyllum </w:t>
      </w:r>
      <w:r>
        <w:t xml:space="preserve">epibiont (SHAP = 5.248), </w:t>
      </w:r>
      <w:r>
        <w:rPr>
          <w:i/>
          <w:iCs/>
        </w:rPr>
        <w:t xml:space="preserve">F. vesiculosus </w:t>
      </w:r>
      <w:r>
        <w:t xml:space="preserve">percent cover (SHAP = 3.667), and </w:t>
      </w:r>
      <w:r>
        <w:rPr>
          <w:i/>
          <w:iCs/>
        </w:rPr>
        <w:t>Chondrus/Mastocarpus</w:t>
      </w:r>
      <w:r w:rsidR="008E0E03">
        <w:rPr>
          <w:i/>
          <w:iCs/>
        </w:rPr>
        <w:t xml:space="preserve"> spp.</w:t>
      </w:r>
      <w:r>
        <w:t xml:space="preserve"> percent cover (SHAP = 2.271).</w:t>
      </w:r>
      <w:r w:rsidR="008E0E03">
        <w:t xml:space="preserve"> T</w:t>
      </w:r>
      <w:r w:rsidR="008E0E03">
        <w:t xml:space="preserve">he previous year’s percent cover of </w:t>
      </w:r>
      <w:r w:rsidR="008E0E03">
        <w:rPr>
          <w:i/>
          <w:iCs/>
        </w:rPr>
        <w:t>A. nodosum</w:t>
      </w:r>
      <w:r w:rsidR="008E0E03">
        <w:t xml:space="preserve"> and </w:t>
      </w:r>
      <w:r w:rsidR="008E0E03">
        <w:rPr>
          <w:i/>
          <w:iCs/>
        </w:rPr>
        <w:t xml:space="preserve">A. nodosum </w:t>
      </w:r>
      <w:r w:rsidR="008E0E03">
        <w:t xml:space="preserve">epibiont coverage have strong positive correlations with the following year’s percent cover, with high values increasing predicted percent cover. High values of </w:t>
      </w:r>
      <w:r w:rsidR="008E0E03">
        <w:rPr>
          <w:i/>
          <w:iCs/>
        </w:rPr>
        <w:t xml:space="preserve">F. vesiculosus </w:t>
      </w:r>
      <w:r w:rsidR="008E0E03">
        <w:t xml:space="preserve">and </w:t>
      </w:r>
      <w:r w:rsidR="008E0E03">
        <w:rPr>
          <w:i/>
          <w:iCs/>
        </w:rPr>
        <w:t xml:space="preserve">Chondrus/Mastocarpus spp. </w:t>
      </w:r>
      <w:r w:rsidR="008E0E03">
        <w:t xml:space="preserve">percent cover are associated with a reduction in </w:t>
      </w:r>
      <w:r w:rsidR="008E0E03">
        <w:rPr>
          <w:i/>
          <w:iCs/>
        </w:rPr>
        <w:t xml:space="preserve">A. nodosum </w:t>
      </w:r>
      <w:r w:rsidR="008E0E03">
        <w:t>percent cover.</w:t>
      </w:r>
    </w:p>
    <w:p w14:paraId="782EC14C" w14:textId="27720401" w:rsidR="00F44EF2" w:rsidRPr="008E0E03" w:rsidRDefault="0048495F" w:rsidP="00F44EF2">
      <w:pPr>
        <w:pStyle w:val="BulkofText"/>
      </w:pPr>
      <w:r>
        <w:t xml:space="preserve">Figure 7 illustrates that </w:t>
      </w:r>
      <w:r w:rsidR="008E0E03">
        <w:t xml:space="preserve">the strongest predictors of </w:t>
      </w:r>
      <w:r w:rsidR="008E0E03">
        <w:rPr>
          <w:i/>
          <w:iCs/>
        </w:rPr>
        <w:t>F. vesiculosus</w:t>
      </w:r>
      <w:r w:rsidR="008E0E03">
        <w:t xml:space="preserve"> percent cover are the previous year’s percent cover of </w:t>
      </w:r>
      <w:r w:rsidR="008E0E03">
        <w:rPr>
          <w:i/>
          <w:iCs/>
        </w:rPr>
        <w:t>F. vesiculosus</w:t>
      </w:r>
      <w:r w:rsidR="008E0E03">
        <w:rPr>
          <w:i/>
          <w:iCs/>
        </w:rPr>
        <w:t xml:space="preserve"> </w:t>
      </w:r>
      <w:r w:rsidR="008E0E03">
        <w:t xml:space="preserve">(SHAP = 20.382), </w:t>
      </w:r>
      <w:r w:rsidR="008E0E03">
        <w:rPr>
          <w:i/>
          <w:iCs/>
        </w:rPr>
        <w:t xml:space="preserve">A. nodosum </w:t>
      </w:r>
      <w:r w:rsidR="008E0E03">
        <w:t xml:space="preserve">percent cover (SHAP = 4.789), </w:t>
      </w:r>
      <w:r w:rsidR="008E0E03">
        <w:rPr>
          <w:i/>
          <w:iCs/>
        </w:rPr>
        <w:t>Chondrus/Mastocarpus</w:t>
      </w:r>
      <w:r w:rsidR="008E0E03">
        <w:t xml:space="preserve"> </w:t>
      </w:r>
      <w:r w:rsidR="008E0E03">
        <w:rPr>
          <w:i/>
          <w:iCs/>
        </w:rPr>
        <w:t xml:space="preserve">spp. </w:t>
      </w:r>
      <w:r w:rsidR="008E0E03">
        <w:t xml:space="preserve">percent cover (SHAP = </w:t>
      </w:r>
      <w:r w:rsidR="008E0E03">
        <w:t>4</w:t>
      </w:r>
      <w:r w:rsidR="008E0E03">
        <w:t>.2</w:t>
      </w:r>
      <w:r w:rsidR="008E0E03">
        <w:t>92</w:t>
      </w:r>
      <w:r w:rsidR="008E0E03">
        <w:t>)</w:t>
      </w:r>
      <w:r w:rsidR="008E0E03">
        <w:t xml:space="preserve">, and </w:t>
      </w:r>
      <w:r w:rsidR="008E0E03">
        <w:rPr>
          <w:i/>
          <w:iCs/>
        </w:rPr>
        <w:t xml:space="preserve">Littorina obtusata </w:t>
      </w:r>
      <w:r w:rsidR="008E0E03">
        <w:t xml:space="preserve">count (SHAP = 3.840). The </w:t>
      </w:r>
      <w:r w:rsidR="008E0E03">
        <w:t xml:space="preserve">previous year’s </w:t>
      </w:r>
      <w:proofErr w:type="gramStart"/>
      <w:r w:rsidR="008E0E03">
        <w:t>percent</w:t>
      </w:r>
      <w:proofErr w:type="gramEnd"/>
      <w:r w:rsidR="008E0E03">
        <w:t xml:space="preserve"> cover of </w:t>
      </w:r>
      <w:r w:rsidR="008E0E03">
        <w:rPr>
          <w:i/>
          <w:iCs/>
        </w:rPr>
        <w:t>F. vesiculosus</w:t>
      </w:r>
      <w:r w:rsidR="008E0E03">
        <w:rPr>
          <w:i/>
          <w:iCs/>
        </w:rPr>
        <w:t xml:space="preserve"> </w:t>
      </w:r>
      <w:proofErr w:type="gramStart"/>
      <w:r w:rsidR="008E0E03">
        <w:t>has</w:t>
      </w:r>
      <w:proofErr w:type="gramEnd"/>
      <w:r w:rsidR="008E0E03">
        <w:t xml:space="preserve"> a strong positive influence on the following year’s </w:t>
      </w:r>
      <w:proofErr w:type="gramStart"/>
      <w:r w:rsidR="008E0E03">
        <w:t>percent</w:t>
      </w:r>
      <w:proofErr w:type="gramEnd"/>
      <w:r w:rsidR="008E0E03">
        <w:t xml:space="preserve"> cover, with high values increasing percent cover. </w:t>
      </w:r>
      <w:r w:rsidR="008E0E03">
        <w:rPr>
          <w:i/>
          <w:iCs/>
        </w:rPr>
        <w:t>A. nodosum</w:t>
      </w:r>
      <w:r w:rsidR="008E0E03">
        <w:t xml:space="preserve"> and </w:t>
      </w:r>
      <w:r w:rsidR="008E0E03">
        <w:rPr>
          <w:i/>
          <w:iCs/>
        </w:rPr>
        <w:t>Chondrus/Mastocarpus spp.</w:t>
      </w:r>
      <w:r w:rsidR="008E0E03">
        <w:t xml:space="preserve"> percent cover is negatively correlated, with high values reducing </w:t>
      </w:r>
      <w:r w:rsidR="008E0E03">
        <w:rPr>
          <w:i/>
          <w:iCs/>
        </w:rPr>
        <w:t xml:space="preserve">F. vesiculosus </w:t>
      </w:r>
      <w:r w:rsidR="008E0E03">
        <w:t xml:space="preserve">percent cover. </w:t>
      </w:r>
      <w:r w:rsidR="008E0E03">
        <w:rPr>
          <w:i/>
          <w:iCs/>
        </w:rPr>
        <w:t xml:space="preserve">L. obtusata </w:t>
      </w:r>
      <w:r w:rsidR="008E0E03">
        <w:t xml:space="preserve">count shows some positive association with </w:t>
      </w:r>
      <w:r w:rsidR="008E0E03">
        <w:rPr>
          <w:i/>
          <w:iCs/>
        </w:rPr>
        <w:t>F. vesiculosus</w:t>
      </w:r>
      <w:r w:rsidR="008E0E03">
        <w:rPr>
          <w:i/>
          <w:iCs/>
        </w:rPr>
        <w:t xml:space="preserve"> </w:t>
      </w:r>
      <w:r w:rsidR="008E0E03">
        <w:t>percent cover, with high values improving percent cover.</w:t>
      </w:r>
    </w:p>
    <w:p w14:paraId="0550105D" w14:textId="77777777" w:rsidR="00F44EF2" w:rsidRDefault="00F44EF2" w:rsidP="00F44EF2">
      <w:pPr>
        <w:pStyle w:val="BulkofText"/>
        <w:keepNext/>
      </w:pPr>
      <w:r>
        <w:rPr>
          <w:noProof/>
        </w:rPr>
        <w:lastRenderedPageBreak/>
        <w:drawing>
          <wp:inline distT="0" distB="0" distL="0" distR="0" wp14:anchorId="6666C1C5" wp14:editId="44FA39C5">
            <wp:extent cx="5943600" cy="5943600"/>
            <wp:effectExtent l="0" t="0" r="0" b="0"/>
            <wp:docPr id="641217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54AF0F" w14:textId="537CA6A9" w:rsidR="00F44EF2" w:rsidRDefault="00F44EF2" w:rsidP="00F44EF2">
      <w:pPr>
        <w:pStyle w:val="Caption"/>
        <w:rPr>
          <w:noProof/>
        </w:rPr>
      </w:pPr>
      <w:r>
        <w:t xml:space="preserve">Figure </w:t>
      </w:r>
      <w:fldSimple w:instr=" SEQ Figure \* ARABIC ">
        <w:r w:rsidR="0048495F">
          <w:rPr>
            <w:noProof/>
          </w:rPr>
          <w:t>6</w:t>
        </w:r>
      </w:fldSimple>
      <w:r>
        <w:rPr>
          <w:noProof/>
        </w:rPr>
        <w:t xml:space="preserve"> - SHAP plot showing the impact of time lagged predictor variables on model prediction of Ascophyllum nodosum percent cover in the following year. The previous year’s Ascophyllum percent cover and Ascophyllum epibiont values are the most dominant predictors, suggesting that the pure time lagged percent cover is a good indicator of the following year’s percent cover. High values of Fucus percent cover are also associated with reduced Ascophyllum percent cover, which may indicate competition </w:t>
      </w:r>
      <w:r w:rsidR="0048495F">
        <w:rPr>
          <w:noProof/>
        </w:rPr>
        <w:t xml:space="preserve">or a direct harmful effect (i.e., </w:t>
      </w:r>
      <w:r>
        <w:rPr>
          <w:noProof/>
        </w:rPr>
        <w:t>allelopathy</w:t>
      </w:r>
      <w:r w:rsidR="0048495F">
        <w:rPr>
          <w:noProof/>
        </w:rPr>
        <w:t>).</w:t>
      </w:r>
    </w:p>
    <w:p w14:paraId="532E2AEB" w14:textId="77777777" w:rsidR="0048495F" w:rsidRDefault="0048495F" w:rsidP="0048495F">
      <w:pPr>
        <w:keepNext/>
      </w:pPr>
      <w:r>
        <w:rPr>
          <w:noProof/>
        </w:rPr>
        <w:lastRenderedPageBreak/>
        <w:drawing>
          <wp:inline distT="0" distB="0" distL="0" distR="0" wp14:anchorId="015A29CE" wp14:editId="40F4C058">
            <wp:extent cx="5943600" cy="5943600"/>
            <wp:effectExtent l="0" t="0" r="0" b="0"/>
            <wp:docPr id="2044699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C2317A" w14:textId="03721C43" w:rsidR="0048495F" w:rsidRPr="0048495F" w:rsidRDefault="0048495F" w:rsidP="0048495F">
      <w:pPr>
        <w:pStyle w:val="Caption"/>
      </w:pPr>
      <w:r>
        <w:t xml:space="preserve">Figure </w:t>
      </w:r>
      <w:fldSimple w:instr=" SEQ Figure \* ARABIC ">
        <w:r>
          <w:rPr>
            <w:noProof/>
          </w:rPr>
          <w:t>7</w:t>
        </w:r>
      </w:fldSimple>
      <w:r>
        <w:t xml:space="preserve"> -</w:t>
      </w:r>
      <w:r>
        <w:rPr>
          <w:noProof/>
        </w:rPr>
        <w:t xml:space="preserve"> </w:t>
      </w:r>
      <w:r>
        <w:rPr>
          <w:noProof/>
        </w:rPr>
        <w:t xml:space="preserve">SHAP plot showing the impact of time lagged predictor variables on model prediction of </w:t>
      </w:r>
      <w:r w:rsidR="008E0E03">
        <w:rPr>
          <w:noProof/>
        </w:rPr>
        <w:t>Fucus vesiculosus</w:t>
      </w:r>
      <w:r>
        <w:rPr>
          <w:noProof/>
        </w:rPr>
        <w:t xml:space="preserve"> percent cover in the following year</w:t>
      </w:r>
      <w:r w:rsidR="008E0E03">
        <w:rPr>
          <w:noProof/>
        </w:rPr>
        <w:t>. F. vesiculosus percent cover from the previous year shows strong influence on model performance and prediction magnitude, with high and low values associated with high and low values the following year, respectively. A. nodosum and Chondus/Mastocarpus percent cover are inversely associated with F. vesiculosus percent cover, both contributing moderately to model performance and reducing F. vesiculosus percent cover. L. obtusata count is slightly positively associated with F. vesiculosus percent cover.</w:t>
      </w:r>
    </w:p>
    <w:p w14:paraId="2326C3F6" w14:textId="15BF67F1" w:rsidR="0048495F" w:rsidRDefault="007B004D" w:rsidP="0048495F">
      <w:pPr>
        <w:pStyle w:val="Heading1"/>
        <w:spacing w:before="0"/>
      </w:pPr>
      <w:r>
        <w:lastRenderedPageBreak/>
        <w:t>Discussion</w:t>
      </w:r>
    </w:p>
    <w:p w14:paraId="6B0F80EC" w14:textId="7F68E5BE" w:rsidR="0048495F" w:rsidRDefault="008E0E03" w:rsidP="008E0E03">
      <w:pPr>
        <w:pStyle w:val="Heading2"/>
      </w:pPr>
      <w:r>
        <w:t>Model Performance</w:t>
      </w:r>
      <w:r w:rsidR="007B004D">
        <w:t xml:space="preserve"> and Conclusions</w:t>
      </w:r>
    </w:p>
    <w:p w14:paraId="31F5EA62" w14:textId="4F7CDC5B" w:rsidR="008E0E03" w:rsidRPr="00E20D2E" w:rsidRDefault="008E0E03" w:rsidP="008E0E03">
      <w:pPr>
        <w:pStyle w:val="BulkofText"/>
      </w:pPr>
      <w:r>
        <w:t>XGBoost shows</w:t>
      </w:r>
      <w:r w:rsidR="00E20D2E">
        <w:t xml:space="preserve"> good performance overall with a moderately high R</w:t>
      </w:r>
      <w:r w:rsidR="00E20D2E">
        <w:rPr>
          <w:vertAlign w:val="superscript"/>
        </w:rPr>
        <w:t>2</w:t>
      </w:r>
      <w:r>
        <w:t xml:space="preserve"> </w:t>
      </w:r>
      <w:r w:rsidR="00E20D2E">
        <w:t xml:space="preserve">value of 0.889 for predicting </w:t>
      </w:r>
      <w:r w:rsidR="00E20D2E">
        <w:rPr>
          <w:i/>
          <w:iCs/>
        </w:rPr>
        <w:t xml:space="preserve">A. nodosum </w:t>
      </w:r>
      <w:r w:rsidR="00E20D2E">
        <w:t xml:space="preserve">and 0.780 for predicting </w:t>
      </w:r>
      <w:r w:rsidR="00E20D2E">
        <w:rPr>
          <w:i/>
          <w:iCs/>
        </w:rPr>
        <w:t>F. vesiculosus</w:t>
      </w:r>
      <w:r w:rsidR="00E20D2E">
        <w:t xml:space="preserve">, and a moderate RMSE value of 11.624 and 17.361 for predicting each, respectively. XGBoost also shows </w:t>
      </w:r>
      <w:r>
        <w:t>a moderate improvement on the baseline model,</w:t>
      </w:r>
      <w:r w:rsidR="00E20D2E">
        <w:t xml:space="preserve"> with a reduction in RMSE of 22.29% when predicting </w:t>
      </w:r>
      <w:r w:rsidR="00E20D2E">
        <w:rPr>
          <w:i/>
          <w:iCs/>
        </w:rPr>
        <w:t xml:space="preserve">A. nodosum </w:t>
      </w:r>
      <w:r w:rsidR="00E20D2E">
        <w:t xml:space="preserve">and 8.31% when predicting </w:t>
      </w:r>
      <w:r w:rsidR="00E20D2E">
        <w:rPr>
          <w:i/>
          <w:iCs/>
        </w:rPr>
        <w:t>F. vesiculosus</w:t>
      </w:r>
      <w:r w:rsidR="00E20D2E">
        <w:t xml:space="preserve">. This suggests that, while the model is performing well overall and is improving upon the baseline moderately well for </w:t>
      </w:r>
      <w:r w:rsidR="00E20D2E">
        <w:rPr>
          <w:i/>
          <w:iCs/>
        </w:rPr>
        <w:t>A. nodosum</w:t>
      </w:r>
      <w:r w:rsidR="00E20D2E">
        <w:t xml:space="preserve">, it shows only moderate success and slight improvement compared to the baseline when predicting </w:t>
      </w:r>
      <w:r w:rsidR="00E20D2E">
        <w:rPr>
          <w:i/>
          <w:iCs/>
        </w:rPr>
        <w:t>F. vesiculosus</w:t>
      </w:r>
      <w:r w:rsidR="00E20D2E">
        <w:t xml:space="preserve">. The relationships that determine </w:t>
      </w:r>
      <w:r w:rsidR="00E20D2E">
        <w:rPr>
          <w:i/>
          <w:iCs/>
        </w:rPr>
        <w:t xml:space="preserve">F. vesiculosus </w:t>
      </w:r>
      <w:r w:rsidR="00E20D2E">
        <w:t xml:space="preserve">percent cover may be more complex or less well captured by the study design. There may also be room for improvement in fitting the model for predicting </w:t>
      </w:r>
      <w:r w:rsidR="00E20D2E">
        <w:rPr>
          <w:i/>
          <w:iCs/>
        </w:rPr>
        <w:t xml:space="preserve">F. vesiculosus </w:t>
      </w:r>
      <w:r w:rsidR="00E20D2E">
        <w:t>specifically.</w:t>
      </w:r>
      <w:r w:rsidR="007B004D">
        <w:t xml:space="preserve"> In it’s current state, the model may prove adequate for improving park management, depending on the specific needs of the stakeholders. It is at least a step in the right direction, if not sufficiently accurate for management planning.</w:t>
      </w:r>
    </w:p>
    <w:p w14:paraId="324ADBD2" w14:textId="21A61E94" w:rsidR="008E0E03" w:rsidRPr="008E0E03" w:rsidRDefault="008E0E03" w:rsidP="008E0E03">
      <w:pPr>
        <w:pStyle w:val="Heading2"/>
      </w:pPr>
      <w:r>
        <w:t>Model Importance Metrics</w:t>
      </w:r>
    </w:p>
    <w:p w14:paraId="08ED8994" w14:textId="3D017941" w:rsidR="007721AE" w:rsidRPr="007721AE" w:rsidRDefault="0048495F" w:rsidP="0048495F">
      <w:pPr>
        <w:pStyle w:val="BulkofText"/>
      </w:pPr>
      <w:r>
        <w:t>Th</w:t>
      </w:r>
      <w:r>
        <w:t>e XGBoost SHAP results</w:t>
      </w:r>
      <w:r>
        <w:t xml:space="preserve"> suggest that the previous year’s </w:t>
      </w:r>
      <w:r>
        <w:rPr>
          <w:i/>
          <w:iCs/>
        </w:rPr>
        <w:t xml:space="preserve">A. nodosum </w:t>
      </w:r>
      <w:r>
        <w:t xml:space="preserve">percent cover is a strong indicator of the following year’s, with both high and low values contributing strongly positively and negatively, respectively. These results also indicate that </w:t>
      </w:r>
      <w:r>
        <w:rPr>
          <w:i/>
          <w:iCs/>
        </w:rPr>
        <w:t>F. vesiculosus</w:t>
      </w:r>
      <w:r>
        <w:t xml:space="preserve"> and </w:t>
      </w:r>
      <w:r>
        <w:rPr>
          <w:i/>
          <w:iCs/>
        </w:rPr>
        <w:t>Chondrus/Mastocarpus spp.</w:t>
      </w:r>
      <w:r>
        <w:t xml:space="preserve"> may be competing with </w:t>
      </w:r>
      <w:r>
        <w:rPr>
          <w:i/>
          <w:iCs/>
        </w:rPr>
        <w:t>A. nodosum</w:t>
      </w:r>
      <w:r w:rsidR="00E20D2E">
        <w:t xml:space="preserve">, as they are associated with a </w:t>
      </w:r>
      <w:r w:rsidR="00E20D2E">
        <w:lastRenderedPageBreak/>
        <w:t xml:space="preserve">reduction in predicted percent cover. This is somewhat supported by </w:t>
      </w:r>
      <w:proofErr w:type="gramStart"/>
      <w:r w:rsidR="00E20D2E">
        <w:t>the literature</w:t>
      </w:r>
      <w:proofErr w:type="gramEnd"/>
      <w:r w:rsidR="00E20D2E">
        <w:t xml:space="preserve">, as these macroalgal species have been shown to compete with each other for space and light, though the interaction is complex and, under specific environmental conditions (i.e., desiccation) the competition skews towards mutualism </w:t>
      </w:r>
      <w:r w:rsidR="003D0C8F">
        <w:fldChar w:fldCharType="begin"/>
      </w:r>
      <w:r w:rsidR="003D0C8F">
        <w:instrText xml:space="preserve"> ADDIN ZOTERO_ITEM CSL_CITATION {"citationID":"io1Iy8OJ","properties":{"formattedCitation":"(Choi and Norton 2005)","plainCitation":"(Choi and Norton 2005)","noteIndex":0},"citationItems":[{"id":103,"uris":["http://zotero.org/users/13044088/items/PUAMYQY8"],"itemData":{"id":103,"type":"article-journal","abstract":"Competitive interactions between germlings of Ascophyllum nodosum (L) Le Jolis and Fucus vesiculosus L. were studied both in the laboratory and on a shore of the Isle of Man, in the Irish Sea. Both intra- and interspecific competition were investigated by comparing the performance of algal germlings both in monocultures and mixed populations of the two species. The growth of germlings of both species reduced with increasing density. F. vesiculosus always grew faster than Ascophyllum and did best in mixed cultures, whereas Ascophyllum did least well when mixed with Fucus germlings. Clearly the adverse effects of F. vesiculosus on A. nodosum were greater than those of Ascophyllum cohorts. At the same total density, the survival and growth of Ascophyllum declined with an increasing proportion of Fucus germlings, implying that poor recruitment of A. nodosum results from strong competition with F. vesiculosus. However, under desiccation stress on the shore, F. vesiculosus enhanced the survival of A. nodosum at the early germling stage even though competition may occur again at the late stage. Thus, whether interactions between germlings take the form of competition or facilitation depends on the environmental conditions.","container-title":"Marine Biology","DOI":"10.1007/s00227-005-1593-x","ISSN":"1432-1793","issue":"2","journalAbbreviation":"Marine Biology","language":"en","page":"525-532","source":"Springer Link","title":"Competition and facilitation between germlings of Ascophyllum nodosum and Fucus vesiculosus","volume":"147","author":[{"family":"Choi","given":"Han Gil"},{"family":"Norton","given":"Trevor A."}],"issued":{"date-parts":[["2005",6,1]]}}}],"schema":"https://github.com/citation-style-language/schema/raw/master/csl-citation.json"} </w:instrText>
      </w:r>
      <w:r w:rsidR="003D0C8F">
        <w:fldChar w:fldCharType="separate"/>
      </w:r>
      <w:r w:rsidR="003D0C8F" w:rsidRPr="003D0C8F">
        <w:t>(Choi and Norton 2005)</w:t>
      </w:r>
      <w:r w:rsidR="003D0C8F">
        <w:fldChar w:fldCharType="end"/>
      </w:r>
      <w:r w:rsidR="003D0C8F">
        <w:t xml:space="preserve">. While these associations may be evidence of competition, they may also be an indicator of complex, unseen, environmental factors that contribute to the distribution of these macroalgal species. For example, </w:t>
      </w:r>
      <w:r w:rsidR="003D0C8F">
        <w:rPr>
          <w:i/>
          <w:iCs/>
        </w:rPr>
        <w:t xml:space="preserve">A. nodosum </w:t>
      </w:r>
      <w:r w:rsidR="003D0C8F">
        <w:t>has been shown to shade other macroalgal species with its long fronds, outcompeting them for light</w:t>
      </w:r>
      <w:r w:rsidR="00E20D2E">
        <w:t xml:space="preserve"> </w:t>
      </w:r>
      <w:r w:rsidR="003D0C8F">
        <w:fldChar w:fldCharType="begin"/>
      </w:r>
      <w:r w:rsidR="003D0C8F">
        <w:instrText xml:space="preserve"> ADDIN ZOTERO_ITEM CSL_CITATION {"citationID":"n26Jbegp","properties":{"formattedCitation":"(Cervin et al. 2004)","plainCitation":"(Cervin et al. 2004)","noteIndex":0},"citationItems":[{"id":249,"uris":["http://zotero.org/users/13044088/items/P3RB2IGK"],"itemData":{"id":249,"type":"article-journal","abstract":"The effects of small-scale disturbances (80×30-cm plots) of canopy and grazers on intertidal assemblages were investigated in this 4-year experiment on sheltered rocky shores on the Swedish west coast. Canopy disturbances due to ice scouring were mimicked by removal of adult plants of the seaweed Ascophyllum nodosum (L.) Le Joli. Density of the main epilithic grazing gastropods, Littorina spp., was lowered by exclosure and handpicking. Based on earlier experiments in other areas, the general hypothesis was that canopy removal and grazer exclosure, alone or in combination, should increase the recruitment of A. nodosum or other fucoid juveniles, and change the structure of the understorey assemblage. There was an effect of canopy removal on the development of this assemblage, lasting for more than 31 months. Both increased and decreased abundances of species were found as short-term effects, but there was also a longer-term effect with increased abundance. Grazer exclosure was only effective in combination with canopy removal, causing a short-term increase in ephemeral green algae. Short-term effects of canopy removal were also the increase in recruitment of Semibalanus balanoides (Linnaeus) and the decrease of the red alga Hildenbrandia rubra (Sommerfelt) Meneghini. Fast recruitment and growth of fucoid species (Fucus serratus L. and F. vesiculosus L.) restored the canopy and conditions of the understorey within 18 months. Thus, the canopy removal changed the physical conditions for the understorey, making it possible for other species to coexist in this community. Surprisingly, no effect of canopy removal or grazer exclusion was found on the recruitment of juvenile A. nodosum, neither by canopy removal nor grazer exclosure. The lack of such effects might be due to the early mortality caused by other grazers (small, mobile crustaceans), or to the low density of periwinkles on these shores. However, despite the patchy and generally low recruitment of A. nodosum juveniles, observations suggested that the cover of A. nodosum in manipulated patches would return to initial levels, either by recruitment or regrowth of small holdfasts and from growth of edge plants.","container-title":"Journal of Experimental Marine Biology and Ecology","DOI":"10.1016/j.jembe.2003.09.022","ISSN":"0022-0981","issue":"1","journalAbbreviation":"Journal of Experimental Marine Biology and Ecology","page":"35-49","source":"ScienceDirect","title":"Effects of small-scale disturbances of canopy and grazing on intertidal assemblages on the Swedish west coast","volume":"302","author":[{"family":"Cervin","given":"Gunnar"},{"family":"Lindegarth","given":"Mats"},{"family":"Viejo","given":"Rosa M"},{"family":"Åberg","given":"Per"}],"issued":{"date-parts":[["2004",4,29]]}}}],"schema":"https://github.com/citation-style-language/schema/raw/master/csl-citation.json"} </w:instrText>
      </w:r>
      <w:r w:rsidR="003D0C8F">
        <w:fldChar w:fldCharType="separate"/>
      </w:r>
      <w:r w:rsidR="003D0C8F" w:rsidRPr="003D0C8F">
        <w:t>(Cervin et al. 2004)</w:t>
      </w:r>
      <w:r w:rsidR="003D0C8F">
        <w:fldChar w:fldCharType="end"/>
      </w:r>
      <w:r w:rsidR="007B004D">
        <w:t xml:space="preserve"> and </w:t>
      </w:r>
      <w:r w:rsidR="007B004D">
        <w:rPr>
          <w:i/>
          <w:iCs/>
        </w:rPr>
        <w:t xml:space="preserve">F. vesiculosus </w:t>
      </w:r>
      <w:r w:rsidR="007B004D">
        <w:t xml:space="preserve">has been shown to exhibit allelopathy </w:t>
      </w:r>
      <w:r w:rsidR="007B004D">
        <w:fldChar w:fldCharType="begin"/>
      </w:r>
      <w:r w:rsidR="007B004D">
        <w:instrText xml:space="preserve"> ADDIN ZOTERO_ITEM CSL_CITATION {"citationID":"f1yugd1k","properties":{"formattedCitation":"(Budza\\uc0\\u322{}ek and \\uc0\\u346{}liwi\\uc0\\u324{}ska-Wilczewska 2021)","plainCitation":"(Budzałek and Śliwińska-Wilczewska 2021)","noteIndex":0},"citationItems":[{"id":259,"uris":["http://zotero.org/users/13044088/items/NH2K6AV4"],"itemData":{"id":259,"type":"article-journal","abstract":"In aquatic ecosystems, allelopathic activity depends on the production and secretion of allelopathic compounds and their effective dispersal in the environment. In addition, macroalgae have been found to produce active metabolites that affect other organisms that compete with them for nutrients. However, the allelopathic activity of Baltic red and brown macroalgae on filamentous cyanobacteria is still insufficiently understood. Therefore, the main objective of this study was to demonstrate and compare the allelopathic effects of macroalgae Fucus vesiculosus L. and Coccotylus brodiei (Turner) Kütz. on the growth and photosynthetic activity of two Baltic cyanobacteria Aphanizomenon sp. and Nostoc sp. It was found a stimulating effect of different concentrations (5, 25, and 50 µL mL–1) of the aqueous extract obtained from C. brodiei on the number of cells of Nostoc sp. which constituted 108%, 140%, and 147%, respectively, relative to the control treatment. \nOn the other hand, extracts obtained from F. vesiculosus had no statistically significant effect on the number of cells of the cyanobacteria Aphanizomenon sp. and Nostoc sp. Moreover, the C. brodiei extracts had no significant impact on the growth of Aphanizomenon sp. Furthermore, Baltic macroalgae F. vesiculosus and C. brodiei was able to exert allelopathic effects on photosynthesis performance of Nostoc sp. and Aphanizomenon sp. and compounds produced by them had inhibitory, stimulatory, or no significant effect on the maximum PSII quantum efficiency (Fv/Fm) and the effective quantum yield of PSII photochemistry (ΦPSII). The results obtained in this work constitute an important contribution to the knowledge on the allelopathic activity of Baltic red and brown algae on certain bloom-forming species of filamentous cyanobacteria.","container-title":"Annales Universitatis Paedagogicae Cracoviensis Studia Naturae","DOI":"10.24917/25438832.6.5","ISSN":"2545-0999, 2543-8832","journalAbbreviation":"AUPCStudiaNaturae","page":"81-94","source":"DOI.org (Crossref)","title":"Allelopathic effect of macroalgae Fucus vesiculosus (Ochrophyta) and Coccotylus brodiei (Rhodophyta) on the growth and photosynthesis performance of Baltic cyanobacteria","author":[{"family":"Budzałek","given":"Gracjana"},{"family":"Śliwińska-Wilczewska","given":"Sylwia"}],"issued":{"date-parts":[["2021",11,20]]}}}],"schema":"https://github.com/citation-style-language/schema/raw/master/csl-citation.json"} </w:instrText>
      </w:r>
      <w:r w:rsidR="007B004D">
        <w:fldChar w:fldCharType="separate"/>
      </w:r>
      <w:r w:rsidR="007B004D" w:rsidRPr="007B004D">
        <w:t>(</w:t>
      </w:r>
      <w:proofErr w:type="spellStart"/>
      <w:r w:rsidR="007B004D" w:rsidRPr="007B004D">
        <w:t>Budzałek</w:t>
      </w:r>
      <w:proofErr w:type="spellEnd"/>
      <w:r w:rsidR="007B004D" w:rsidRPr="007B004D">
        <w:t xml:space="preserve"> and Śliwińska-Wilczewska 2021)</w:t>
      </w:r>
      <w:r w:rsidR="007B004D">
        <w:fldChar w:fldCharType="end"/>
      </w:r>
      <w:r w:rsidR="003D0C8F">
        <w:t xml:space="preserve">, but </w:t>
      </w:r>
      <w:r w:rsidR="003D0C8F">
        <w:rPr>
          <w:i/>
          <w:iCs/>
        </w:rPr>
        <w:t xml:space="preserve">A. nodosum </w:t>
      </w:r>
      <w:r w:rsidR="003D0C8F">
        <w:t xml:space="preserve">and </w:t>
      </w:r>
      <w:r w:rsidR="003D0C8F">
        <w:rPr>
          <w:i/>
          <w:iCs/>
        </w:rPr>
        <w:t xml:space="preserve">F. vesiculosus </w:t>
      </w:r>
      <w:r w:rsidR="003D0C8F">
        <w:t xml:space="preserve">have also been shown to have different tolerances for salinity </w:t>
      </w:r>
      <w:r w:rsidR="003D0C8F">
        <w:fldChar w:fldCharType="begin"/>
      </w:r>
      <w:r w:rsidR="007B004D">
        <w:instrText xml:space="preserve"> ADDIN ZOTERO_ITEM CSL_CITATION {"citationID":"g5D59er1","properties":{"formattedCitation":"(B\\uc0\\u228{}ck et al. 1992, Perry et al. 2020)","plainCitation":"(Bäck et al. 1992, Perry et al. 2020)","noteIndex":0},"citationItems":[{"id":254,"uris":["http://zotero.org/users/13044088/items/HRIMPUGG"],"itemData":{"id":254,"type":"article-journal","container-title":"British Phycological Journal","DOI":"10.1080/00071619200650061","ISSN":"0007-1617","issue":"1","journalAbbreviation":"British Phycological Journal","language":"en","page":"39-47","source":"DOI.org (Crossref)","title":"Effects of salinity on growth of Baltic and Atlantic &lt;i&gt;Fucus vesiculosus&lt;/i&gt;","volume":"27","author":[{"family":"Bäck","given":"S."},{"family":"Collins","given":"J.C."},{"family":"Russell","given":"G."}],"issued":{"date-parts":[["1992",3]]}}},{"id":255,"uris":["http://zotero.org/users/13044088/items/PIYJW4WY"],"itemData":{"id":255,"type":"document","title":"Ascophyllum nodosum and Fucus vesiculosus on variable salinity mid eulittoral rock","URL":"https://www.marlin.ac.uk/habitat/detail/78","author":[{"family":"Perry","given":"F."},{"family":"Avack","given":"E.","non-dropping-particle":"d'"},{"family":"Hill","given":"J."}],"issued":{"date-parts":[["2020"]]}}}],"schema":"https://github.com/citation-style-language/schema/raw/master/csl-citation.json"} </w:instrText>
      </w:r>
      <w:r w:rsidR="003D0C8F">
        <w:fldChar w:fldCharType="separate"/>
      </w:r>
      <w:r w:rsidR="007B004D" w:rsidRPr="007B004D">
        <w:t>(Bäck et al. 1992, Perry et al. 2020)</w:t>
      </w:r>
      <w:r w:rsidR="003D0C8F">
        <w:fldChar w:fldCharType="end"/>
      </w:r>
      <w:r w:rsidR="007B004D">
        <w:t xml:space="preserve">. It is therefore impossible to state what exact effects are influencing </w:t>
      </w:r>
      <w:r w:rsidR="007B004D">
        <w:rPr>
          <w:i/>
          <w:iCs/>
        </w:rPr>
        <w:t xml:space="preserve">A. nodosum </w:t>
      </w:r>
      <w:r w:rsidR="007B004D">
        <w:t xml:space="preserve">and </w:t>
      </w:r>
      <w:r w:rsidR="007B004D">
        <w:rPr>
          <w:i/>
          <w:iCs/>
        </w:rPr>
        <w:t xml:space="preserve">F. vesiculosus </w:t>
      </w:r>
      <w:r w:rsidR="007B004D">
        <w:t>distribution, only that certain features are associated with them. Being able to single out associated features, their importance, and their effect magnitude and direction is, however, sufficient for the research question posed.</w:t>
      </w:r>
      <w:r w:rsidR="007721AE">
        <w:t xml:space="preserve"> Interestingly, very few motile invertebrates were strongly associated with the percent cover of the target variables. Only the smooth periwinkle, </w:t>
      </w:r>
      <w:r w:rsidR="007721AE">
        <w:rPr>
          <w:i/>
          <w:iCs/>
        </w:rPr>
        <w:t>L. obtusata</w:t>
      </w:r>
      <w:r w:rsidR="007721AE">
        <w:t xml:space="preserve">, was moderately associated with </w:t>
      </w:r>
      <w:r w:rsidR="007721AE">
        <w:rPr>
          <w:i/>
          <w:iCs/>
        </w:rPr>
        <w:t>F. vesiculosus</w:t>
      </w:r>
      <w:r w:rsidR="007721AE">
        <w:t>.</w:t>
      </w:r>
    </w:p>
    <w:p w14:paraId="4AF93714" w14:textId="72A60BE6" w:rsidR="007B004D" w:rsidRPr="008E0E03" w:rsidRDefault="007B004D" w:rsidP="007B004D">
      <w:pPr>
        <w:pStyle w:val="Heading2"/>
      </w:pPr>
      <w:r>
        <w:t>Future Analysis</w:t>
      </w:r>
    </w:p>
    <w:p w14:paraId="1C57E07D" w14:textId="1446A5F6" w:rsidR="007B004D" w:rsidRPr="007721AE" w:rsidRDefault="007B004D" w:rsidP="007B004D">
      <w:pPr>
        <w:pStyle w:val="BulkofText"/>
      </w:pPr>
      <w:r>
        <w:t>The XGBo</w:t>
      </w:r>
      <w:r>
        <w:t xml:space="preserve">ost model described in this analysis is a good starting point for accurately predicting key macroalgal species </w:t>
      </w:r>
      <w:r w:rsidR="007721AE">
        <w:t xml:space="preserve">future </w:t>
      </w:r>
      <w:r>
        <w:t>abundance</w:t>
      </w:r>
      <w:r w:rsidR="007721AE">
        <w:t xml:space="preserve">. The model in its current state may be underfit, as performance on both training and testing data could be improved. Future analysis with the full dataset (2008 – 2024, rather than 2013 – 2018) may allow for improved performance via </w:t>
      </w:r>
      <w:r w:rsidR="007721AE">
        <w:lastRenderedPageBreak/>
        <w:t xml:space="preserve">increased lag times and the inclusion of temperature as a key covariate. Normalizing the epibiont percent cover values (and other collinear values that may appear with the full dataset) by their respective host’s percent cover will allow that to serve as an indication of how much of that target species has been colonized, rather than basically a proxy for lagged percent cover, which is already present. Inclusion of </w:t>
      </w:r>
      <w:r w:rsidR="007721AE">
        <w:rPr>
          <w:i/>
          <w:iCs/>
        </w:rPr>
        <w:t>Carcinas maenas</w:t>
      </w:r>
      <w:r w:rsidR="007721AE">
        <w:t>, the European Green Crab, a critically important invasive species in the rocky intertidal, may provide additional predictive power and valuable interpretation, depending on its contribution to the model.</w:t>
      </w:r>
    </w:p>
    <w:p w14:paraId="15F16009" w14:textId="7C957BE4" w:rsidR="00FC5CA0" w:rsidRDefault="00FC5CA0" w:rsidP="00C72D66">
      <w:pPr>
        <w:pStyle w:val="BulkofText"/>
      </w:pPr>
      <w:r>
        <w:br w:type="page"/>
      </w:r>
    </w:p>
    <w:p w14:paraId="62417070" w14:textId="77777777" w:rsidR="007721AE" w:rsidRDefault="007721AE" w:rsidP="007721AE">
      <w:pPr>
        <w:pStyle w:val="Heading1"/>
        <w:spacing w:before="0"/>
      </w:pPr>
      <w:r>
        <w:lastRenderedPageBreak/>
        <w:t>Appendix A: Data Dictionary</w:t>
      </w:r>
    </w:p>
    <w:p w14:paraId="03836CE8" w14:textId="77777777" w:rsidR="007721AE" w:rsidRPr="00876254" w:rsidRDefault="007721AE" w:rsidP="007721AE">
      <w:pPr>
        <w:pStyle w:val="Heading2"/>
      </w:pPr>
      <w:r>
        <w:t>NETN Rocky Intertidal Long Term Monitoring Protocol Data Dictionary</w:t>
      </w:r>
    </w:p>
    <w:tbl>
      <w:tblPr>
        <w:tblStyle w:val="PlainTable3"/>
        <w:tblW w:w="9450" w:type="dxa"/>
        <w:tblLayout w:type="fixed"/>
        <w:tblLook w:val="04A0" w:firstRow="1" w:lastRow="0" w:firstColumn="1" w:lastColumn="0" w:noHBand="0" w:noVBand="1"/>
      </w:tblPr>
      <w:tblGrid>
        <w:gridCol w:w="2448"/>
        <w:gridCol w:w="3019"/>
        <w:gridCol w:w="1661"/>
        <w:gridCol w:w="1350"/>
        <w:gridCol w:w="972"/>
      </w:tblGrid>
      <w:tr w:rsidR="007721AE" w:rsidRPr="005C6A46" w14:paraId="675EFDCC" w14:textId="77777777" w:rsidTr="007721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14:paraId="63F5A93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Variable Name</w:t>
            </w:r>
          </w:p>
        </w:tc>
        <w:tc>
          <w:tcPr>
            <w:tcW w:w="3019" w:type="dxa"/>
          </w:tcPr>
          <w:p w14:paraId="62689D62"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Description</w:t>
            </w:r>
          </w:p>
        </w:tc>
        <w:tc>
          <w:tcPr>
            <w:tcW w:w="1661" w:type="dxa"/>
          </w:tcPr>
          <w:p w14:paraId="626A979C"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Units / Scale</w:t>
            </w:r>
          </w:p>
        </w:tc>
        <w:tc>
          <w:tcPr>
            <w:tcW w:w="1350" w:type="dxa"/>
          </w:tcPr>
          <w:p w14:paraId="2E4721CD"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Transformation</w:t>
            </w:r>
          </w:p>
        </w:tc>
        <w:tc>
          <w:tcPr>
            <w:tcW w:w="972" w:type="dxa"/>
          </w:tcPr>
          <w:p w14:paraId="79E87F0D" w14:textId="77777777" w:rsidR="007721AE" w:rsidRPr="005C6A46" w:rsidRDefault="007721AE" w:rsidP="0076222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Type</w:t>
            </w:r>
          </w:p>
        </w:tc>
      </w:tr>
      <w:tr w:rsidR="007721AE" w:rsidRPr="005C6A46" w14:paraId="2CA0B77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23B607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loc_name</w:t>
            </w:r>
          </w:p>
        </w:tc>
        <w:tc>
          <w:tcPr>
            <w:tcW w:w="3019" w:type="dxa"/>
          </w:tcPr>
          <w:p w14:paraId="7AF16C0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Site name within Acadia National Park where survey was conducted (6 total sites)</w:t>
            </w:r>
          </w:p>
        </w:tc>
        <w:tc>
          <w:tcPr>
            <w:tcW w:w="1661" w:type="dxa"/>
          </w:tcPr>
          <w:p w14:paraId="1ACA59D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Categorical (string)</w:t>
            </w:r>
          </w:p>
        </w:tc>
        <w:tc>
          <w:tcPr>
            <w:tcW w:w="1350" w:type="dxa"/>
          </w:tcPr>
          <w:p w14:paraId="5FE4FBA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6E96DCC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Identifier</w:t>
            </w:r>
          </w:p>
        </w:tc>
      </w:tr>
      <w:tr w:rsidR="007721AE" w:rsidRPr="005C6A46" w14:paraId="651546C6"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2CAAAC0B"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start_date</w:t>
            </w:r>
          </w:p>
        </w:tc>
        <w:tc>
          <w:tcPr>
            <w:tcW w:w="3019" w:type="dxa"/>
          </w:tcPr>
          <w:p w14:paraId="2A96DFB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Date of annual survey for that site/year</w:t>
            </w:r>
          </w:p>
        </w:tc>
        <w:tc>
          <w:tcPr>
            <w:tcW w:w="1661" w:type="dxa"/>
          </w:tcPr>
          <w:p w14:paraId="791222E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Date (MM/DD/YYYY)</w:t>
            </w:r>
          </w:p>
        </w:tc>
        <w:tc>
          <w:tcPr>
            <w:tcW w:w="1350" w:type="dxa"/>
          </w:tcPr>
          <w:p w14:paraId="47D228E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6477DAE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Identifier</w:t>
            </w:r>
          </w:p>
        </w:tc>
      </w:tr>
      <w:tr w:rsidR="007721AE" w:rsidRPr="005C6A46" w14:paraId="5094B03A"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C4913FC"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rockweed_fucus_spp</w:t>
            </w:r>
          </w:p>
        </w:tc>
        <w:tc>
          <w:tcPr>
            <w:tcW w:w="3019" w:type="dxa"/>
          </w:tcPr>
          <w:p w14:paraId="1A90A6A1"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rockweed (*Fucus* spp.)</w:t>
            </w:r>
          </w:p>
        </w:tc>
        <w:tc>
          <w:tcPr>
            <w:tcW w:w="1661" w:type="dxa"/>
          </w:tcPr>
          <w:p w14:paraId="3A55408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73999DA2" w14:textId="1A51154F"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7415632"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4A1FC0C1"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733988C5"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knotted_wrack_a_nodosum</w:t>
            </w:r>
          </w:p>
        </w:tc>
        <w:tc>
          <w:tcPr>
            <w:tcW w:w="3019" w:type="dxa"/>
          </w:tcPr>
          <w:p w14:paraId="0140D665"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knotted wrack (*Ascophyllum nodosum*)</w:t>
            </w:r>
          </w:p>
        </w:tc>
        <w:tc>
          <w:tcPr>
            <w:tcW w:w="1661" w:type="dxa"/>
          </w:tcPr>
          <w:p w14:paraId="2F6D98AA"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1A867F8A" w14:textId="7B57652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4D77E9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46CBD9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F328B29"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barnacle_e_g_s_balanoides</w:t>
            </w:r>
          </w:p>
        </w:tc>
        <w:tc>
          <w:tcPr>
            <w:tcW w:w="3019" w:type="dxa"/>
          </w:tcPr>
          <w:p w14:paraId="11117A5D"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barnacles (*e.g.*, *Semibalanus balanoides*)</w:t>
            </w:r>
          </w:p>
        </w:tc>
        <w:tc>
          <w:tcPr>
            <w:tcW w:w="1661" w:type="dxa"/>
          </w:tcPr>
          <w:p w14:paraId="66900CC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3F477467" w14:textId="6774CB94"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3497726"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1EC86B6A"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7AB1A942"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mussel_e_g_mytilus_edulis</w:t>
            </w:r>
          </w:p>
        </w:tc>
        <w:tc>
          <w:tcPr>
            <w:tcW w:w="3019" w:type="dxa"/>
          </w:tcPr>
          <w:p w14:paraId="0CB748A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mussels (*e.g.*, *Mytilus edulis*)</w:t>
            </w:r>
          </w:p>
        </w:tc>
        <w:tc>
          <w:tcPr>
            <w:tcW w:w="1661" w:type="dxa"/>
          </w:tcPr>
          <w:p w14:paraId="6E6B1C49"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1E2912C2" w14:textId="5710FFF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28C1683B"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74EE39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9CD7C08"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irish_moss_chondrus_mastocarpus</w:t>
            </w:r>
          </w:p>
        </w:tc>
        <w:tc>
          <w:tcPr>
            <w:tcW w:w="3019" w:type="dxa"/>
          </w:tcPr>
          <w:p w14:paraId="2B1BED1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Irish moss (*Chondrus crispus*, *Mastocarpus stellatus*)</w:t>
            </w:r>
          </w:p>
        </w:tc>
        <w:tc>
          <w:tcPr>
            <w:tcW w:w="1661" w:type="dxa"/>
          </w:tcPr>
          <w:p w14:paraId="69625474"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7C4ED794" w14:textId="079309C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77B1491D"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E9A0EA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587DA35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kelp_e_g_laminaria_alaria</w:t>
            </w:r>
          </w:p>
        </w:tc>
        <w:tc>
          <w:tcPr>
            <w:tcW w:w="3019" w:type="dxa"/>
          </w:tcPr>
          <w:p w14:paraId="66EF529C"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kelp (*e.g.*, *Laminaria* spp., *Alaria* spp.)</w:t>
            </w:r>
          </w:p>
        </w:tc>
        <w:tc>
          <w:tcPr>
            <w:tcW w:w="1661" w:type="dxa"/>
          </w:tcPr>
          <w:p w14:paraId="0641120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095C4FFD" w14:textId="370FC29B"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575430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5298ED95"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731211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dulse_palmaria_palmata</w:t>
            </w:r>
          </w:p>
        </w:tc>
        <w:tc>
          <w:tcPr>
            <w:tcW w:w="3019" w:type="dxa"/>
          </w:tcPr>
          <w:p w14:paraId="22CE618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dulse (*Palmaria palmata*)</w:t>
            </w:r>
          </w:p>
        </w:tc>
        <w:tc>
          <w:tcPr>
            <w:tcW w:w="1661" w:type="dxa"/>
          </w:tcPr>
          <w:p w14:paraId="627FE4B6"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5F75F933" w14:textId="4C9B2812"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4BE6069F"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1A3BF82"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FDF5594"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laver_porphyra_spp</w:t>
            </w:r>
          </w:p>
        </w:tc>
        <w:tc>
          <w:tcPr>
            <w:tcW w:w="3019" w:type="dxa"/>
          </w:tcPr>
          <w:p w14:paraId="45E2F08C"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laver (*Porphyra* spp.)</w:t>
            </w:r>
          </w:p>
        </w:tc>
        <w:tc>
          <w:tcPr>
            <w:tcW w:w="1661" w:type="dxa"/>
          </w:tcPr>
          <w:p w14:paraId="2E33064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768475FB" w14:textId="5F060DA2"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52AF141F"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3F42E60"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1F69454"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sea_lettuce_ulva_lactuca</w:t>
            </w:r>
          </w:p>
        </w:tc>
        <w:tc>
          <w:tcPr>
            <w:tcW w:w="3019" w:type="dxa"/>
          </w:tcPr>
          <w:p w14:paraId="0BA5138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 xml:space="preserve">Percent cover of sea lettuce (*Ulva </w:t>
            </w:r>
            <w:proofErr w:type="spellStart"/>
            <w:r w:rsidRPr="005C6A46">
              <w:rPr>
                <w:rFonts w:asciiTheme="majorHAnsi" w:hAnsiTheme="majorHAnsi" w:cstheme="majorHAnsi"/>
                <w:sz w:val="20"/>
                <w:szCs w:val="20"/>
              </w:rPr>
              <w:t>lactuca</w:t>
            </w:r>
            <w:proofErr w:type="spellEnd"/>
            <w:r w:rsidRPr="005C6A46">
              <w:rPr>
                <w:rFonts w:asciiTheme="majorHAnsi" w:hAnsiTheme="majorHAnsi" w:cstheme="majorHAnsi"/>
                <w:sz w:val="20"/>
                <w:szCs w:val="20"/>
              </w:rPr>
              <w:t>*)</w:t>
            </w:r>
          </w:p>
        </w:tc>
        <w:tc>
          <w:tcPr>
            <w:tcW w:w="1661" w:type="dxa"/>
          </w:tcPr>
          <w:p w14:paraId="56EB516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1C9DAB37" w14:textId="5ADC370D"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7BE209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545DC7A"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9A3C83B"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articulated_corallines</w:t>
            </w:r>
          </w:p>
        </w:tc>
        <w:tc>
          <w:tcPr>
            <w:tcW w:w="3019" w:type="dxa"/>
          </w:tcPr>
          <w:p w14:paraId="2B45517B"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articulated coralline algae</w:t>
            </w:r>
          </w:p>
        </w:tc>
        <w:tc>
          <w:tcPr>
            <w:tcW w:w="1661" w:type="dxa"/>
          </w:tcPr>
          <w:p w14:paraId="1D53B18E"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2ECF4E35" w14:textId="0E65DA7F"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1F814E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E8631E9"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427D48A"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crustose_non_coraline</w:t>
            </w:r>
          </w:p>
        </w:tc>
        <w:tc>
          <w:tcPr>
            <w:tcW w:w="3019" w:type="dxa"/>
          </w:tcPr>
          <w:p w14:paraId="67119004"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crustose non-coralline algae</w:t>
            </w:r>
          </w:p>
        </w:tc>
        <w:tc>
          <w:tcPr>
            <w:tcW w:w="1661" w:type="dxa"/>
          </w:tcPr>
          <w:p w14:paraId="27CEDA26"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45939E79" w14:textId="44B1ECBB"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4B336A6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A62B52C"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D358379"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other_algae_green</w:t>
            </w:r>
          </w:p>
        </w:tc>
        <w:tc>
          <w:tcPr>
            <w:tcW w:w="3019" w:type="dxa"/>
          </w:tcPr>
          <w:p w14:paraId="19018BE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other green algae species</w:t>
            </w:r>
          </w:p>
        </w:tc>
        <w:tc>
          <w:tcPr>
            <w:tcW w:w="1661" w:type="dxa"/>
          </w:tcPr>
          <w:p w14:paraId="6B60F9A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02575D1C" w14:textId="419B220D"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C9BA70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964540C"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7CD217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other_algae_red</w:t>
            </w:r>
          </w:p>
        </w:tc>
        <w:tc>
          <w:tcPr>
            <w:tcW w:w="3019" w:type="dxa"/>
          </w:tcPr>
          <w:p w14:paraId="0388B855"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other red algae species</w:t>
            </w:r>
          </w:p>
        </w:tc>
        <w:tc>
          <w:tcPr>
            <w:tcW w:w="1661" w:type="dxa"/>
          </w:tcPr>
          <w:p w14:paraId="2F1444E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37A462AE" w14:textId="051720C3"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86A845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7A5F33D"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8F94B04"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fucus_epibiont</w:t>
            </w:r>
          </w:p>
        </w:tc>
        <w:tc>
          <w:tcPr>
            <w:tcW w:w="3019" w:type="dxa"/>
          </w:tcPr>
          <w:p w14:paraId="1EBFBF8F"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epibionts on *Fucus* spp.</w:t>
            </w:r>
          </w:p>
        </w:tc>
        <w:tc>
          <w:tcPr>
            <w:tcW w:w="1661" w:type="dxa"/>
          </w:tcPr>
          <w:p w14:paraId="3D248207"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3C9D1F69" w14:textId="1142E24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72CAC2F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71CF9093"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4715AE0"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ascophyllum_epibont</w:t>
            </w:r>
          </w:p>
        </w:tc>
        <w:tc>
          <w:tcPr>
            <w:tcW w:w="3019" w:type="dxa"/>
          </w:tcPr>
          <w:p w14:paraId="6BB83CE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epibionts on *Ascophyllum nodosum*</w:t>
            </w:r>
          </w:p>
        </w:tc>
        <w:tc>
          <w:tcPr>
            <w:tcW w:w="1661" w:type="dxa"/>
          </w:tcPr>
          <w:p w14:paraId="160581F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6C570FE1" w14:textId="0A2A8D2C"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63092B50"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401218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42EA428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other_invertebrate</w:t>
            </w:r>
          </w:p>
        </w:tc>
        <w:tc>
          <w:tcPr>
            <w:tcW w:w="3019" w:type="dxa"/>
          </w:tcPr>
          <w:p w14:paraId="3007EB79"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other sessile invertebrate species (non-listed)</w:t>
            </w:r>
          </w:p>
        </w:tc>
        <w:tc>
          <w:tcPr>
            <w:tcW w:w="1661" w:type="dxa"/>
          </w:tcPr>
          <w:p w14:paraId="3AE1490A"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6FBBD46E" w14:textId="43A5F9FD"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13D16AF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75587D9C"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A7020CC"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rock</w:t>
            </w:r>
          </w:p>
        </w:tc>
        <w:tc>
          <w:tcPr>
            <w:tcW w:w="3019" w:type="dxa"/>
          </w:tcPr>
          <w:p w14:paraId="5AA6E30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bare rock substrate</w:t>
            </w:r>
          </w:p>
        </w:tc>
        <w:tc>
          <w:tcPr>
            <w:tcW w:w="1661" w:type="dxa"/>
          </w:tcPr>
          <w:p w14:paraId="4F60C18F"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4DEE7D5D" w14:textId="0FA4B2DF"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514C40A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4D43052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5ED7C60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other_substrate</w:t>
            </w:r>
          </w:p>
        </w:tc>
        <w:tc>
          <w:tcPr>
            <w:tcW w:w="3019" w:type="dxa"/>
          </w:tcPr>
          <w:p w14:paraId="16D5CEA5"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substrate types not listed elsewhere</w:t>
            </w:r>
          </w:p>
        </w:tc>
        <w:tc>
          <w:tcPr>
            <w:tcW w:w="1661" w:type="dxa"/>
          </w:tcPr>
          <w:p w14:paraId="2365555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018732A3" w14:textId="2FF6F1D0"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AAE56C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1EC2C13C"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F2982B6"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not_sampled</w:t>
            </w:r>
          </w:p>
        </w:tc>
        <w:tc>
          <w:tcPr>
            <w:tcW w:w="3019" w:type="dxa"/>
          </w:tcPr>
          <w:p w14:paraId="168835EB"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of quadrat area not surveyed or unable to be sampled</w:t>
            </w:r>
          </w:p>
        </w:tc>
        <w:tc>
          <w:tcPr>
            <w:tcW w:w="1661" w:type="dxa"/>
          </w:tcPr>
          <w:p w14:paraId="02893BE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Percent cover (%)</w:t>
            </w:r>
          </w:p>
        </w:tc>
        <w:tc>
          <w:tcPr>
            <w:tcW w:w="1350" w:type="dxa"/>
          </w:tcPr>
          <w:p w14:paraId="65CB19D3" w14:textId="5601D41E"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None/</w:t>
            </w:r>
            <w:r w:rsidRPr="005C6A46">
              <w:rPr>
                <w:rFonts w:asciiTheme="majorHAnsi" w:hAnsiTheme="majorHAnsi" w:cstheme="majorHAnsi"/>
                <w:sz w:val="20"/>
                <w:szCs w:val="20"/>
              </w:rPr>
              <w:t>Logit transformed</w:t>
            </w:r>
          </w:p>
        </w:tc>
        <w:tc>
          <w:tcPr>
            <w:tcW w:w="972" w:type="dxa"/>
          </w:tcPr>
          <w:p w14:paraId="3BAAB3DC"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06D3F2CB"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307BEB1F"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lastRenderedPageBreak/>
              <w:t>common_periwinkle_littorina_littorea</w:t>
            </w:r>
          </w:p>
        </w:tc>
        <w:tc>
          <w:tcPr>
            <w:tcW w:w="3019" w:type="dxa"/>
          </w:tcPr>
          <w:p w14:paraId="1CF7D35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 xml:space="preserve">Abundance of common </w:t>
            </w:r>
            <w:proofErr w:type="gramStart"/>
            <w:r w:rsidRPr="005C6A46">
              <w:rPr>
                <w:rFonts w:asciiTheme="majorHAnsi" w:hAnsiTheme="majorHAnsi" w:cstheme="majorHAnsi"/>
                <w:sz w:val="20"/>
                <w:szCs w:val="20"/>
              </w:rPr>
              <w:t>periwinkle</w:t>
            </w:r>
            <w:proofErr w:type="gramEnd"/>
            <w:r w:rsidRPr="005C6A46">
              <w:rPr>
                <w:rFonts w:asciiTheme="majorHAnsi" w:hAnsiTheme="majorHAnsi" w:cstheme="majorHAnsi"/>
                <w:sz w:val="20"/>
                <w:szCs w:val="20"/>
              </w:rPr>
              <w:t xml:space="preserve"> (*Littorina littorea*) per plot</w:t>
            </w:r>
          </w:p>
        </w:tc>
        <w:tc>
          <w:tcPr>
            <w:tcW w:w="1661" w:type="dxa"/>
          </w:tcPr>
          <w:p w14:paraId="6A726FB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4335910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7909C4E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37144399"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C1608A0"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smooth_periwinkle_littorina_obtusata</w:t>
            </w:r>
          </w:p>
        </w:tc>
        <w:tc>
          <w:tcPr>
            <w:tcW w:w="3019" w:type="dxa"/>
          </w:tcPr>
          <w:p w14:paraId="4455A26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 xml:space="preserve">Abundance of smooth </w:t>
            </w:r>
            <w:proofErr w:type="gramStart"/>
            <w:r w:rsidRPr="005C6A46">
              <w:rPr>
                <w:rFonts w:asciiTheme="majorHAnsi" w:hAnsiTheme="majorHAnsi" w:cstheme="majorHAnsi"/>
                <w:sz w:val="20"/>
                <w:szCs w:val="20"/>
              </w:rPr>
              <w:t>periwinkle</w:t>
            </w:r>
            <w:proofErr w:type="gramEnd"/>
            <w:r w:rsidRPr="005C6A46">
              <w:rPr>
                <w:rFonts w:asciiTheme="majorHAnsi" w:hAnsiTheme="majorHAnsi" w:cstheme="majorHAnsi"/>
                <w:sz w:val="20"/>
                <w:szCs w:val="20"/>
              </w:rPr>
              <w:t xml:space="preserve"> (*Littorina obtusata*) per plot</w:t>
            </w:r>
          </w:p>
        </w:tc>
        <w:tc>
          <w:tcPr>
            <w:tcW w:w="1661" w:type="dxa"/>
          </w:tcPr>
          <w:p w14:paraId="24449081"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7568701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42A10A4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3492E914"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1F721D73"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rough_periwinkle_littorina_saxatilis</w:t>
            </w:r>
          </w:p>
        </w:tc>
        <w:tc>
          <w:tcPr>
            <w:tcW w:w="3019" w:type="dxa"/>
          </w:tcPr>
          <w:p w14:paraId="77E0889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 xml:space="preserve">Abundance of rough </w:t>
            </w:r>
            <w:proofErr w:type="gramStart"/>
            <w:r w:rsidRPr="005C6A46">
              <w:rPr>
                <w:rFonts w:asciiTheme="majorHAnsi" w:hAnsiTheme="majorHAnsi" w:cstheme="majorHAnsi"/>
                <w:sz w:val="20"/>
                <w:szCs w:val="20"/>
              </w:rPr>
              <w:t>periwinkle</w:t>
            </w:r>
            <w:proofErr w:type="gramEnd"/>
            <w:r w:rsidRPr="005C6A46">
              <w:rPr>
                <w:rFonts w:asciiTheme="majorHAnsi" w:hAnsiTheme="majorHAnsi" w:cstheme="majorHAnsi"/>
                <w:sz w:val="20"/>
                <w:szCs w:val="20"/>
              </w:rPr>
              <w:t xml:space="preserve"> (*Littorina saxatilis*) per plot</w:t>
            </w:r>
          </w:p>
        </w:tc>
        <w:tc>
          <w:tcPr>
            <w:tcW w:w="1661" w:type="dxa"/>
          </w:tcPr>
          <w:p w14:paraId="7BE4CB17"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13502114"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411A927"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62AFA523"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30468AE"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dogwhelk_nucella_lapillus</w:t>
            </w:r>
          </w:p>
        </w:tc>
        <w:tc>
          <w:tcPr>
            <w:tcW w:w="3019" w:type="dxa"/>
          </w:tcPr>
          <w:p w14:paraId="5B30887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dogwhelk (*Nucella lapillus*) per plot</w:t>
            </w:r>
          </w:p>
        </w:tc>
        <w:tc>
          <w:tcPr>
            <w:tcW w:w="1661" w:type="dxa"/>
          </w:tcPr>
          <w:p w14:paraId="6FF0325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6CC8472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5A5DFC94"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B650687"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075F14B9"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limpet_tectura_testudinalis</w:t>
            </w:r>
          </w:p>
        </w:tc>
        <w:tc>
          <w:tcPr>
            <w:tcW w:w="3019" w:type="dxa"/>
          </w:tcPr>
          <w:p w14:paraId="65AAAAFC"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Abundance of limpet (*Tectura testudinalis*) per plot</w:t>
            </w:r>
          </w:p>
        </w:tc>
        <w:tc>
          <w:tcPr>
            <w:tcW w:w="1661" w:type="dxa"/>
          </w:tcPr>
          <w:p w14:paraId="5F6E8513"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Count</w:t>
            </w:r>
          </w:p>
        </w:tc>
        <w:tc>
          <w:tcPr>
            <w:tcW w:w="1350" w:type="dxa"/>
          </w:tcPr>
          <w:p w14:paraId="2DF4099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620979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73085304"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DB82E20"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common_periwinkle_littorina_littorea_mean_measure</w:t>
            </w:r>
          </w:p>
        </w:tc>
        <w:tc>
          <w:tcPr>
            <w:tcW w:w="3019" w:type="dxa"/>
          </w:tcPr>
          <w:p w14:paraId="7DCE6D9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common periwinkle (average of up to 10 individuals if abundance &gt; 10)</w:t>
            </w:r>
          </w:p>
        </w:tc>
        <w:tc>
          <w:tcPr>
            <w:tcW w:w="1661" w:type="dxa"/>
          </w:tcPr>
          <w:p w14:paraId="734F569A"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45BA51D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17E2CE12"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16FB6B6D"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2165AF6D"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smooth_periwinkle_littorina_obtusata_mean_measure</w:t>
            </w:r>
          </w:p>
        </w:tc>
        <w:tc>
          <w:tcPr>
            <w:tcW w:w="3019" w:type="dxa"/>
          </w:tcPr>
          <w:p w14:paraId="55079C8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smooth periwinkle</w:t>
            </w:r>
          </w:p>
        </w:tc>
        <w:tc>
          <w:tcPr>
            <w:tcW w:w="1661" w:type="dxa"/>
          </w:tcPr>
          <w:p w14:paraId="200C95CD"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1DDB9A23"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CB50131"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21646DAB"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654F808"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rough_periwinkle_littorina_saxatilis_mean_measure</w:t>
            </w:r>
          </w:p>
        </w:tc>
        <w:tc>
          <w:tcPr>
            <w:tcW w:w="3019" w:type="dxa"/>
          </w:tcPr>
          <w:p w14:paraId="44BC3707"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rough periwinkle</w:t>
            </w:r>
          </w:p>
        </w:tc>
        <w:tc>
          <w:tcPr>
            <w:tcW w:w="1661" w:type="dxa"/>
          </w:tcPr>
          <w:p w14:paraId="0397E582"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754C572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0CB89CCF"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5C087FAC" w14:textId="77777777" w:rsidTr="007721AE">
        <w:tc>
          <w:tcPr>
            <w:cnfStyle w:val="001000000000" w:firstRow="0" w:lastRow="0" w:firstColumn="1" w:lastColumn="0" w:oddVBand="0" w:evenVBand="0" w:oddHBand="0" w:evenHBand="0" w:firstRowFirstColumn="0" w:firstRowLastColumn="0" w:lastRowFirstColumn="0" w:lastRowLastColumn="0"/>
            <w:tcW w:w="2448" w:type="dxa"/>
          </w:tcPr>
          <w:p w14:paraId="24D00301"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dogwhelk_nucella_lapillus_mean_measure</w:t>
            </w:r>
          </w:p>
        </w:tc>
        <w:tc>
          <w:tcPr>
            <w:tcW w:w="3019" w:type="dxa"/>
          </w:tcPr>
          <w:p w14:paraId="5B0FF496"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dogwhelk</w:t>
            </w:r>
          </w:p>
        </w:tc>
        <w:tc>
          <w:tcPr>
            <w:tcW w:w="1661" w:type="dxa"/>
          </w:tcPr>
          <w:p w14:paraId="0E26F35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07510F38"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4BC191F0" w14:textId="77777777" w:rsidR="007721AE" w:rsidRPr="005C6A46" w:rsidRDefault="007721AE" w:rsidP="0076222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r w:rsidR="007721AE" w:rsidRPr="005C6A46" w14:paraId="33EB02A0" w14:textId="77777777" w:rsidTr="0077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D16E15F" w14:textId="77777777" w:rsidR="007721AE" w:rsidRPr="005C6A46" w:rsidRDefault="007721AE" w:rsidP="0076222E">
            <w:pPr>
              <w:rPr>
                <w:rFonts w:asciiTheme="majorHAnsi" w:hAnsiTheme="majorHAnsi" w:cstheme="majorHAnsi"/>
                <w:sz w:val="20"/>
                <w:szCs w:val="20"/>
              </w:rPr>
            </w:pPr>
            <w:r w:rsidRPr="005C6A46">
              <w:rPr>
                <w:rFonts w:asciiTheme="majorHAnsi" w:hAnsiTheme="majorHAnsi" w:cstheme="majorHAnsi"/>
                <w:sz w:val="20"/>
                <w:szCs w:val="20"/>
              </w:rPr>
              <w:t>limpet_tectura_testudinalis_mean_measure</w:t>
            </w:r>
          </w:p>
        </w:tc>
        <w:tc>
          <w:tcPr>
            <w:tcW w:w="3019" w:type="dxa"/>
          </w:tcPr>
          <w:p w14:paraId="01D0C4F8"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Mean shell length of limpet</w:t>
            </w:r>
          </w:p>
        </w:tc>
        <w:tc>
          <w:tcPr>
            <w:tcW w:w="1661" w:type="dxa"/>
          </w:tcPr>
          <w:p w14:paraId="41210E33"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Millimeters (mm)</w:t>
            </w:r>
          </w:p>
        </w:tc>
        <w:tc>
          <w:tcPr>
            <w:tcW w:w="1350" w:type="dxa"/>
          </w:tcPr>
          <w:p w14:paraId="2C2A8589"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None</w:t>
            </w:r>
          </w:p>
        </w:tc>
        <w:tc>
          <w:tcPr>
            <w:tcW w:w="972" w:type="dxa"/>
          </w:tcPr>
          <w:p w14:paraId="76519C6D" w14:textId="77777777" w:rsidR="007721AE" w:rsidRPr="005C6A46" w:rsidRDefault="007721AE" w:rsidP="0076222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5C6A46">
              <w:rPr>
                <w:rFonts w:asciiTheme="majorHAnsi" w:hAnsiTheme="majorHAnsi" w:cstheme="majorHAnsi"/>
                <w:sz w:val="20"/>
                <w:szCs w:val="20"/>
              </w:rPr>
              <w:t>Numeric</w:t>
            </w:r>
          </w:p>
        </w:tc>
      </w:tr>
    </w:tbl>
    <w:p w14:paraId="6BB40E30" w14:textId="77777777" w:rsidR="007721AE" w:rsidRDefault="007721AE">
      <w:pPr>
        <w:rPr>
          <w:rFonts w:ascii="Calibri" w:eastAsiaTheme="majorEastAsia" w:hAnsi="Calibri" w:cs="Calibri"/>
          <w:b/>
          <w:bCs/>
          <w:sz w:val="36"/>
          <w:szCs w:val="36"/>
        </w:rPr>
      </w:pPr>
      <w:r>
        <w:br w:type="page"/>
      </w:r>
    </w:p>
    <w:p w14:paraId="1412796D" w14:textId="0DBECC66" w:rsidR="00910C71" w:rsidRDefault="00910C71" w:rsidP="00090F42">
      <w:pPr>
        <w:pStyle w:val="Heading1"/>
        <w:numPr>
          <w:ilvl w:val="0"/>
          <w:numId w:val="0"/>
        </w:numPr>
        <w:spacing w:before="0"/>
      </w:pPr>
      <w:r>
        <w:lastRenderedPageBreak/>
        <w:t>References</w:t>
      </w:r>
    </w:p>
    <w:p w14:paraId="52879F7A" w14:textId="77777777" w:rsidR="007B004D" w:rsidRPr="007B004D" w:rsidRDefault="00910C71" w:rsidP="007B004D">
      <w:pPr>
        <w:pStyle w:val="Bibliography"/>
        <w:rPr>
          <w:rFonts w:ascii="Calibri" w:hAnsi="Calibri" w:cs="Calibri"/>
        </w:rPr>
      </w:pPr>
      <w:r>
        <w:fldChar w:fldCharType="begin"/>
      </w:r>
      <w:r w:rsidR="0030622F">
        <w:instrText xml:space="preserve"> ADDIN ZOTERO_BIBL {"uncited":[],"omitted":[],"custom":[]} CSL_BIBLIOGRAPHY </w:instrText>
      </w:r>
      <w:r>
        <w:fldChar w:fldCharType="separate"/>
      </w:r>
      <w:r w:rsidR="007B004D" w:rsidRPr="007B004D">
        <w:rPr>
          <w:rFonts w:ascii="Calibri" w:hAnsi="Calibri" w:cs="Calibri"/>
        </w:rPr>
        <w:t xml:space="preserve">Bäck, S., J. C. Collins, and G. Russell. 1992. Effects of salinity on growth of Baltic and Atlantic </w:t>
      </w:r>
      <w:r w:rsidR="007B004D" w:rsidRPr="007B004D">
        <w:rPr>
          <w:rFonts w:ascii="Calibri" w:hAnsi="Calibri" w:cs="Calibri"/>
          <w:i/>
          <w:iCs/>
        </w:rPr>
        <w:t>Fucus vesiculosus</w:t>
      </w:r>
      <w:r w:rsidR="007B004D" w:rsidRPr="007B004D">
        <w:rPr>
          <w:rFonts w:ascii="Calibri" w:hAnsi="Calibri" w:cs="Calibri"/>
        </w:rPr>
        <w:t>. British Phycological Journal 27:39–47.</w:t>
      </w:r>
    </w:p>
    <w:p w14:paraId="37FDF725" w14:textId="77777777" w:rsidR="007B004D" w:rsidRPr="007B004D" w:rsidRDefault="007B004D" w:rsidP="007B004D">
      <w:pPr>
        <w:pStyle w:val="Bibliography"/>
        <w:rPr>
          <w:rFonts w:ascii="Calibri" w:hAnsi="Calibri" w:cs="Calibri"/>
        </w:rPr>
      </w:pPr>
      <w:proofErr w:type="spellStart"/>
      <w:r w:rsidRPr="007B004D">
        <w:rPr>
          <w:rFonts w:ascii="Calibri" w:hAnsi="Calibri" w:cs="Calibri"/>
        </w:rPr>
        <w:t>Budzałek</w:t>
      </w:r>
      <w:proofErr w:type="spellEnd"/>
      <w:r w:rsidRPr="007B004D">
        <w:rPr>
          <w:rFonts w:ascii="Calibri" w:hAnsi="Calibri" w:cs="Calibri"/>
        </w:rPr>
        <w:t>, G., and S. Śliwińska-Wilczewska. 2021. Allelopathic effect of macroalgae Fucus vesiculosus (</w:t>
      </w:r>
      <w:proofErr w:type="spellStart"/>
      <w:r w:rsidRPr="007B004D">
        <w:rPr>
          <w:rFonts w:ascii="Calibri" w:hAnsi="Calibri" w:cs="Calibri"/>
        </w:rPr>
        <w:t>Ochrophyta</w:t>
      </w:r>
      <w:proofErr w:type="spellEnd"/>
      <w:r w:rsidRPr="007B004D">
        <w:rPr>
          <w:rFonts w:ascii="Calibri" w:hAnsi="Calibri" w:cs="Calibri"/>
        </w:rPr>
        <w:t xml:space="preserve">) and </w:t>
      </w:r>
      <w:proofErr w:type="spellStart"/>
      <w:r w:rsidRPr="007B004D">
        <w:rPr>
          <w:rFonts w:ascii="Calibri" w:hAnsi="Calibri" w:cs="Calibri"/>
        </w:rPr>
        <w:t>Coccotylus</w:t>
      </w:r>
      <w:proofErr w:type="spellEnd"/>
      <w:r w:rsidRPr="007B004D">
        <w:rPr>
          <w:rFonts w:ascii="Calibri" w:hAnsi="Calibri" w:cs="Calibri"/>
        </w:rPr>
        <w:t xml:space="preserve"> </w:t>
      </w:r>
      <w:proofErr w:type="spellStart"/>
      <w:r w:rsidRPr="007B004D">
        <w:rPr>
          <w:rFonts w:ascii="Calibri" w:hAnsi="Calibri" w:cs="Calibri"/>
        </w:rPr>
        <w:t>brodiei</w:t>
      </w:r>
      <w:proofErr w:type="spellEnd"/>
      <w:r w:rsidRPr="007B004D">
        <w:rPr>
          <w:rFonts w:ascii="Calibri" w:hAnsi="Calibri" w:cs="Calibri"/>
        </w:rPr>
        <w:t xml:space="preserve"> (Rhodophyta) on the growth and photosynthesis performance of Baltic cyanobacteria. Annales Universitatis </w:t>
      </w:r>
      <w:proofErr w:type="spellStart"/>
      <w:r w:rsidRPr="007B004D">
        <w:rPr>
          <w:rFonts w:ascii="Calibri" w:hAnsi="Calibri" w:cs="Calibri"/>
        </w:rPr>
        <w:t>Paedagogicae</w:t>
      </w:r>
      <w:proofErr w:type="spellEnd"/>
      <w:r w:rsidRPr="007B004D">
        <w:rPr>
          <w:rFonts w:ascii="Calibri" w:hAnsi="Calibri" w:cs="Calibri"/>
        </w:rPr>
        <w:t xml:space="preserve"> </w:t>
      </w:r>
      <w:proofErr w:type="spellStart"/>
      <w:r w:rsidRPr="007B004D">
        <w:rPr>
          <w:rFonts w:ascii="Calibri" w:hAnsi="Calibri" w:cs="Calibri"/>
        </w:rPr>
        <w:t>Cracoviensis</w:t>
      </w:r>
      <w:proofErr w:type="spellEnd"/>
      <w:r w:rsidRPr="007B004D">
        <w:rPr>
          <w:rFonts w:ascii="Calibri" w:hAnsi="Calibri" w:cs="Calibri"/>
        </w:rPr>
        <w:t xml:space="preserve"> Studia Naturae:81–94.</w:t>
      </w:r>
    </w:p>
    <w:p w14:paraId="24FF0888" w14:textId="77777777" w:rsidR="007B004D" w:rsidRPr="007B004D" w:rsidRDefault="007B004D" w:rsidP="007B004D">
      <w:pPr>
        <w:pStyle w:val="Bibliography"/>
        <w:rPr>
          <w:rFonts w:ascii="Calibri" w:hAnsi="Calibri" w:cs="Calibri"/>
        </w:rPr>
      </w:pPr>
      <w:r w:rsidRPr="007B004D">
        <w:rPr>
          <w:rFonts w:ascii="Calibri" w:hAnsi="Calibri" w:cs="Calibri"/>
        </w:rPr>
        <w:t xml:space="preserve">Cervin, G., M. </w:t>
      </w:r>
      <w:proofErr w:type="spellStart"/>
      <w:r w:rsidRPr="007B004D">
        <w:rPr>
          <w:rFonts w:ascii="Calibri" w:hAnsi="Calibri" w:cs="Calibri"/>
        </w:rPr>
        <w:t>Lindegarth</w:t>
      </w:r>
      <w:proofErr w:type="spellEnd"/>
      <w:r w:rsidRPr="007B004D">
        <w:rPr>
          <w:rFonts w:ascii="Calibri" w:hAnsi="Calibri" w:cs="Calibri"/>
        </w:rPr>
        <w:t>, R. M. Viejo, and P. Åberg. 2004. Effects of small-scale disturbances of canopy and grazing on intertidal assemblages on the Swedish west coast. Journal of Experimental Marine Biology and Ecology 302:35–49.</w:t>
      </w:r>
    </w:p>
    <w:p w14:paraId="66F704D3" w14:textId="77777777" w:rsidR="007B004D" w:rsidRPr="007B004D" w:rsidRDefault="007B004D" w:rsidP="007B004D">
      <w:pPr>
        <w:pStyle w:val="Bibliography"/>
        <w:rPr>
          <w:rFonts w:ascii="Calibri" w:hAnsi="Calibri" w:cs="Calibri"/>
        </w:rPr>
      </w:pPr>
      <w:r w:rsidRPr="007B004D">
        <w:rPr>
          <w:rFonts w:ascii="Calibri" w:hAnsi="Calibri" w:cs="Calibri"/>
        </w:rPr>
        <w:t>Choi, H. G., and T. A. Norton. 2005. Competition and facilitation between germlings of Ascophyllum nodosum and Fucus vesiculosus. Marine Biology 147:525–532.</w:t>
      </w:r>
    </w:p>
    <w:p w14:paraId="2D80EE11" w14:textId="77777777" w:rsidR="007B004D" w:rsidRPr="007B004D" w:rsidRDefault="007B004D" w:rsidP="007B004D">
      <w:pPr>
        <w:pStyle w:val="Bibliography"/>
        <w:rPr>
          <w:rFonts w:ascii="Calibri" w:hAnsi="Calibri" w:cs="Calibri"/>
        </w:rPr>
      </w:pPr>
      <w:r w:rsidRPr="007B004D">
        <w:rPr>
          <w:rFonts w:ascii="Calibri" w:hAnsi="Calibri" w:cs="Calibri"/>
        </w:rPr>
        <w:t>Clarke, K. R. 1993. Non‐parametric multivariate analyses of changes in community structure. Australian Journal of Ecology 18:117–143.</w:t>
      </w:r>
    </w:p>
    <w:p w14:paraId="4639CCBB" w14:textId="77777777" w:rsidR="007B004D" w:rsidRPr="007B004D" w:rsidRDefault="007B004D" w:rsidP="007B004D">
      <w:pPr>
        <w:pStyle w:val="Bibliography"/>
        <w:rPr>
          <w:rFonts w:ascii="Calibri" w:hAnsi="Calibri" w:cs="Calibri"/>
        </w:rPr>
      </w:pPr>
      <w:r w:rsidRPr="007B004D">
        <w:rPr>
          <w:rFonts w:ascii="Calibri" w:hAnsi="Calibri" w:cs="Calibri"/>
        </w:rPr>
        <w:t>Dayton, P. K. 1972. Toward an understanding of community resilience and the potential effects of enrichments to the benthos at McMurdo Sound, Antarctica. Page Proceedings of the colloquium on conservation problems in Antarctica. Allen Press Lawrence, KS.</w:t>
      </w:r>
    </w:p>
    <w:p w14:paraId="326FF182" w14:textId="77777777" w:rsidR="007B004D" w:rsidRPr="007B004D" w:rsidRDefault="007B004D" w:rsidP="007B004D">
      <w:pPr>
        <w:pStyle w:val="Bibliography"/>
        <w:rPr>
          <w:rFonts w:ascii="Calibri" w:hAnsi="Calibri" w:cs="Calibri"/>
        </w:rPr>
      </w:pPr>
      <w:r w:rsidRPr="007B004D">
        <w:rPr>
          <w:rFonts w:ascii="Calibri" w:hAnsi="Calibri" w:cs="Calibri"/>
        </w:rPr>
        <w:t xml:space="preserve">Dexter, E., G. </w:t>
      </w:r>
      <w:proofErr w:type="spellStart"/>
      <w:r w:rsidRPr="007B004D">
        <w:rPr>
          <w:rFonts w:ascii="Calibri" w:hAnsi="Calibri" w:cs="Calibri"/>
        </w:rPr>
        <w:t>Rollwagen</w:t>
      </w:r>
      <w:proofErr w:type="spellEnd"/>
      <w:r w:rsidRPr="007B004D">
        <w:rPr>
          <w:rFonts w:ascii="Calibri" w:hAnsi="Calibri" w:cs="Calibri"/>
        </w:rPr>
        <w:t>-Bollens, and S. M. Bollens. 2018. The trouble with stress: A flexible method for the evaluation of nonmetric multidimensional scaling. Limnology and Oceanography: Methods 16:434–443.</w:t>
      </w:r>
    </w:p>
    <w:p w14:paraId="0B90DE53" w14:textId="77777777" w:rsidR="007B004D" w:rsidRPr="007B004D" w:rsidRDefault="007B004D" w:rsidP="007B004D">
      <w:pPr>
        <w:pStyle w:val="Bibliography"/>
        <w:rPr>
          <w:rFonts w:ascii="Calibri" w:hAnsi="Calibri" w:cs="Calibri"/>
        </w:rPr>
      </w:pPr>
      <w:r w:rsidRPr="007B004D">
        <w:rPr>
          <w:rFonts w:ascii="Calibri" w:hAnsi="Calibri" w:cs="Calibri"/>
        </w:rPr>
        <w:t>Hadlock, R. H. 1979. The distribution of Littorina obtusata (L.) in the rocky intertidal: effects of competition with Littorina littorea (L.). Master’s thesis, Department of Zoology, University of Rhode Island, Kingston, RI.</w:t>
      </w:r>
    </w:p>
    <w:p w14:paraId="4FADBE50" w14:textId="77777777" w:rsidR="007B004D" w:rsidRPr="007B004D" w:rsidRDefault="007B004D" w:rsidP="007B004D">
      <w:pPr>
        <w:pStyle w:val="Bibliography"/>
        <w:rPr>
          <w:rFonts w:ascii="Calibri" w:hAnsi="Calibri" w:cs="Calibri"/>
        </w:rPr>
      </w:pPr>
      <w:proofErr w:type="spellStart"/>
      <w:r w:rsidRPr="007B004D">
        <w:rPr>
          <w:rFonts w:ascii="Calibri" w:hAnsi="Calibri" w:cs="Calibri"/>
        </w:rPr>
        <w:t>Jueterbock</w:t>
      </w:r>
      <w:proofErr w:type="spellEnd"/>
      <w:r w:rsidRPr="007B004D">
        <w:rPr>
          <w:rFonts w:ascii="Calibri" w:hAnsi="Calibri" w:cs="Calibri"/>
        </w:rPr>
        <w:t>, A., L. Tyberghein, H. Verbruggen, J. A. Coyer, J. L. Olsen, and G. Hoarau. 2013. Climate change impact on seaweed meadow distribution in the North Atlantic rocky intertidal. Ecology and evolution 3:1356–1373.</w:t>
      </w:r>
    </w:p>
    <w:p w14:paraId="576AEAB0" w14:textId="77777777" w:rsidR="007B004D" w:rsidRPr="007B004D" w:rsidRDefault="007B004D" w:rsidP="007B004D">
      <w:pPr>
        <w:pStyle w:val="Bibliography"/>
        <w:rPr>
          <w:rFonts w:ascii="Calibri" w:hAnsi="Calibri" w:cs="Calibri"/>
        </w:rPr>
      </w:pPr>
      <w:r w:rsidRPr="007B004D">
        <w:rPr>
          <w:rFonts w:ascii="Calibri" w:hAnsi="Calibri" w:cs="Calibri"/>
        </w:rPr>
        <w:t xml:space="preserve">Linnaeus, C. 1753. Species plantarum, </w:t>
      </w:r>
      <w:proofErr w:type="spellStart"/>
      <w:r w:rsidRPr="007B004D">
        <w:rPr>
          <w:rFonts w:ascii="Calibri" w:hAnsi="Calibri" w:cs="Calibri"/>
        </w:rPr>
        <w:t>exhibentes</w:t>
      </w:r>
      <w:proofErr w:type="spellEnd"/>
      <w:r w:rsidRPr="007B004D">
        <w:rPr>
          <w:rFonts w:ascii="Calibri" w:hAnsi="Calibri" w:cs="Calibri"/>
        </w:rPr>
        <w:t xml:space="preserve"> </w:t>
      </w:r>
      <w:proofErr w:type="spellStart"/>
      <w:r w:rsidRPr="007B004D">
        <w:rPr>
          <w:rFonts w:ascii="Calibri" w:hAnsi="Calibri" w:cs="Calibri"/>
        </w:rPr>
        <w:t>plantas</w:t>
      </w:r>
      <w:proofErr w:type="spellEnd"/>
      <w:r w:rsidRPr="007B004D">
        <w:rPr>
          <w:rFonts w:ascii="Calibri" w:hAnsi="Calibri" w:cs="Calibri"/>
        </w:rPr>
        <w:t xml:space="preserve"> rite </w:t>
      </w:r>
      <w:proofErr w:type="spellStart"/>
      <w:r w:rsidRPr="007B004D">
        <w:rPr>
          <w:rFonts w:ascii="Calibri" w:hAnsi="Calibri" w:cs="Calibri"/>
        </w:rPr>
        <w:t>cognitas</w:t>
      </w:r>
      <w:proofErr w:type="spellEnd"/>
      <w:r w:rsidRPr="007B004D">
        <w:rPr>
          <w:rFonts w:ascii="Calibri" w:hAnsi="Calibri" w:cs="Calibri"/>
        </w:rPr>
        <w:t xml:space="preserve"> ad genera </w:t>
      </w:r>
      <w:proofErr w:type="spellStart"/>
      <w:r w:rsidRPr="007B004D">
        <w:rPr>
          <w:rFonts w:ascii="Calibri" w:hAnsi="Calibri" w:cs="Calibri"/>
        </w:rPr>
        <w:t>relatas</w:t>
      </w:r>
      <w:proofErr w:type="spellEnd"/>
      <w:r w:rsidRPr="007B004D">
        <w:rPr>
          <w:rFonts w:ascii="Calibri" w:hAnsi="Calibri" w:cs="Calibri"/>
        </w:rPr>
        <w:t xml:space="preserve"> cum </w:t>
      </w:r>
      <w:proofErr w:type="spellStart"/>
      <w:r w:rsidRPr="007B004D">
        <w:rPr>
          <w:rFonts w:ascii="Calibri" w:hAnsi="Calibri" w:cs="Calibri"/>
        </w:rPr>
        <w:t>differentiis</w:t>
      </w:r>
      <w:proofErr w:type="spellEnd"/>
      <w:r w:rsidRPr="007B004D">
        <w:rPr>
          <w:rFonts w:ascii="Calibri" w:hAnsi="Calibri" w:cs="Calibri"/>
        </w:rPr>
        <w:t xml:space="preserve"> </w:t>
      </w:r>
      <w:proofErr w:type="spellStart"/>
      <w:r w:rsidRPr="007B004D">
        <w:rPr>
          <w:rFonts w:ascii="Calibri" w:hAnsi="Calibri" w:cs="Calibri"/>
        </w:rPr>
        <w:t>specificis</w:t>
      </w:r>
      <w:proofErr w:type="spellEnd"/>
      <w:r w:rsidRPr="007B004D">
        <w:rPr>
          <w:rFonts w:ascii="Calibri" w:hAnsi="Calibri" w:cs="Calibri"/>
        </w:rPr>
        <w:t xml:space="preserve">, </w:t>
      </w:r>
      <w:proofErr w:type="spellStart"/>
      <w:r w:rsidRPr="007B004D">
        <w:rPr>
          <w:rFonts w:ascii="Calibri" w:hAnsi="Calibri" w:cs="Calibri"/>
        </w:rPr>
        <w:t>nominibus</w:t>
      </w:r>
      <w:proofErr w:type="spellEnd"/>
      <w:r w:rsidRPr="007B004D">
        <w:rPr>
          <w:rFonts w:ascii="Calibri" w:hAnsi="Calibri" w:cs="Calibri"/>
        </w:rPr>
        <w:t xml:space="preserve"> </w:t>
      </w:r>
      <w:proofErr w:type="spellStart"/>
      <w:r w:rsidRPr="007B004D">
        <w:rPr>
          <w:rFonts w:ascii="Calibri" w:hAnsi="Calibri" w:cs="Calibri"/>
        </w:rPr>
        <w:t>trivialibus</w:t>
      </w:r>
      <w:proofErr w:type="spellEnd"/>
      <w:r w:rsidRPr="007B004D">
        <w:rPr>
          <w:rFonts w:ascii="Calibri" w:hAnsi="Calibri" w:cs="Calibri"/>
        </w:rPr>
        <w:t xml:space="preserve">, </w:t>
      </w:r>
      <w:proofErr w:type="spellStart"/>
      <w:r w:rsidRPr="007B004D">
        <w:rPr>
          <w:rFonts w:ascii="Calibri" w:hAnsi="Calibri" w:cs="Calibri"/>
        </w:rPr>
        <w:t>synonymis</w:t>
      </w:r>
      <w:proofErr w:type="spellEnd"/>
      <w:r w:rsidRPr="007B004D">
        <w:rPr>
          <w:rFonts w:ascii="Calibri" w:hAnsi="Calibri" w:cs="Calibri"/>
        </w:rPr>
        <w:t xml:space="preserve"> </w:t>
      </w:r>
      <w:proofErr w:type="spellStart"/>
      <w:r w:rsidRPr="007B004D">
        <w:rPr>
          <w:rFonts w:ascii="Calibri" w:hAnsi="Calibri" w:cs="Calibri"/>
        </w:rPr>
        <w:t>selectis</w:t>
      </w:r>
      <w:proofErr w:type="spellEnd"/>
      <w:r w:rsidRPr="007B004D">
        <w:rPr>
          <w:rFonts w:ascii="Calibri" w:hAnsi="Calibri" w:cs="Calibri"/>
        </w:rPr>
        <w:t xml:space="preserve">, </w:t>
      </w:r>
      <w:proofErr w:type="spellStart"/>
      <w:r w:rsidRPr="007B004D">
        <w:rPr>
          <w:rFonts w:ascii="Calibri" w:hAnsi="Calibri" w:cs="Calibri"/>
        </w:rPr>
        <w:t>locis</w:t>
      </w:r>
      <w:proofErr w:type="spellEnd"/>
      <w:r w:rsidRPr="007B004D">
        <w:rPr>
          <w:rFonts w:ascii="Calibri" w:hAnsi="Calibri" w:cs="Calibri"/>
        </w:rPr>
        <w:t xml:space="preserve"> </w:t>
      </w:r>
      <w:proofErr w:type="spellStart"/>
      <w:r w:rsidRPr="007B004D">
        <w:rPr>
          <w:rFonts w:ascii="Calibri" w:hAnsi="Calibri" w:cs="Calibri"/>
        </w:rPr>
        <w:t>natalibus</w:t>
      </w:r>
      <w:proofErr w:type="spellEnd"/>
      <w:r w:rsidRPr="007B004D">
        <w:rPr>
          <w:rFonts w:ascii="Calibri" w:hAnsi="Calibri" w:cs="Calibri"/>
        </w:rPr>
        <w:t xml:space="preserve">, secundum systema </w:t>
      </w:r>
      <w:proofErr w:type="spellStart"/>
      <w:r w:rsidRPr="007B004D">
        <w:rPr>
          <w:rFonts w:ascii="Calibri" w:hAnsi="Calibri" w:cs="Calibri"/>
        </w:rPr>
        <w:t>sexuale</w:t>
      </w:r>
      <w:proofErr w:type="spellEnd"/>
      <w:r w:rsidRPr="007B004D">
        <w:rPr>
          <w:rFonts w:ascii="Calibri" w:hAnsi="Calibri" w:cs="Calibri"/>
        </w:rPr>
        <w:t xml:space="preserve"> </w:t>
      </w:r>
      <w:proofErr w:type="spellStart"/>
      <w:r w:rsidRPr="007B004D">
        <w:rPr>
          <w:rFonts w:ascii="Calibri" w:hAnsi="Calibri" w:cs="Calibri"/>
        </w:rPr>
        <w:t>digestas</w:t>
      </w:r>
      <w:proofErr w:type="spellEnd"/>
      <w:r w:rsidRPr="007B004D">
        <w:rPr>
          <w:rFonts w:ascii="Calibri" w:hAnsi="Calibri" w:cs="Calibri"/>
        </w:rPr>
        <w:t>. Vol 1.</w:t>
      </w:r>
    </w:p>
    <w:p w14:paraId="3BBA43CB" w14:textId="77777777" w:rsidR="007B004D" w:rsidRPr="007B004D" w:rsidRDefault="007B004D" w:rsidP="007B004D">
      <w:pPr>
        <w:pStyle w:val="Bibliography"/>
        <w:rPr>
          <w:rFonts w:ascii="Calibri" w:hAnsi="Calibri" w:cs="Calibri"/>
        </w:rPr>
      </w:pPr>
      <w:r w:rsidRPr="007B004D">
        <w:rPr>
          <w:rFonts w:ascii="Calibri" w:hAnsi="Calibri" w:cs="Calibri"/>
        </w:rPr>
        <w:t xml:space="preserve">Linné, C. von, and L. Salvius. 1758. Caroli </w:t>
      </w:r>
      <w:proofErr w:type="spellStart"/>
      <w:r w:rsidRPr="007B004D">
        <w:rPr>
          <w:rFonts w:ascii="Calibri" w:hAnsi="Calibri" w:cs="Calibri"/>
        </w:rPr>
        <w:t>Linnaei</w:t>
      </w:r>
      <w:proofErr w:type="spellEnd"/>
      <w:r w:rsidRPr="007B004D">
        <w:rPr>
          <w:rFonts w:ascii="Calibri" w:hAnsi="Calibri" w:cs="Calibri"/>
        </w:rPr>
        <w:t xml:space="preserve">...Systema naturae per regna </w:t>
      </w:r>
      <w:proofErr w:type="spellStart"/>
      <w:r w:rsidRPr="007B004D">
        <w:rPr>
          <w:rFonts w:ascii="Calibri" w:hAnsi="Calibri" w:cs="Calibri"/>
        </w:rPr>
        <w:t>tria</w:t>
      </w:r>
      <w:proofErr w:type="spellEnd"/>
      <w:r w:rsidRPr="007B004D">
        <w:rPr>
          <w:rFonts w:ascii="Calibri" w:hAnsi="Calibri" w:cs="Calibri"/>
        </w:rPr>
        <w:t xml:space="preserve"> naturae :secundum classes, ordines, genera, species, cum </w:t>
      </w:r>
      <w:proofErr w:type="spellStart"/>
      <w:r w:rsidRPr="007B004D">
        <w:rPr>
          <w:rFonts w:ascii="Calibri" w:hAnsi="Calibri" w:cs="Calibri"/>
        </w:rPr>
        <w:t>characteribus</w:t>
      </w:r>
      <w:proofErr w:type="spellEnd"/>
      <w:r w:rsidRPr="007B004D">
        <w:rPr>
          <w:rFonts w:ascii="Calibri" w:hAnsi="Calibri" w:cs="Calibri"/>
        </w:rPr>
        <w:t xml:space="preserve">, </w:t>
      </w:r>
      <w:proofErr w:type="spellStart"/>
      <w:r w:rsidRPr="007B004D">
        <w:rPr>
          <w:rFonts w:ascii="Calibri" w:hAnsi="Calibri" w:cs="Calibri"/>
        </w:rPr>
        <w:t>differentiis</w:t>
      </w:r>
      <w:proofErr w:type="spellEnd"/>
      <w:r w:rsidRPr="007B004D">
        <w:rPr>
          <w:rFonts w:ascii="Calibri" w:hAnsi="Calibri" w:cs="Calibri"/>
        </w:rPr>
        <w:t xml:space="preserve">, </w:t>
      </w:r>
      <w:proofErr w:type="spellStart"/>
      <w:r w:rsidRPr="007B004D">
        <w:rPr>
          <w:rFonts w:ascii="Calibri" w:hAnsi="Calibri" w:cs="Calibri"/>
        </w:rPr>
        <w:t>synonymis</w:t>
      </w:r>
      <w:proofErr w:type="spellEnd"/>
      <w:r w:rsidRPr="007B004D">
        <w:rPr>
          <w:rFonts w:ascii="Calibri" w:hAnsi="Calibri" w:cs="Calibri"/>
        </w:rPr>
        <w:t xml:space="preserve">, </w:t>
      </w:r>
      <w:proofErr w:type="spellStart"/>
      <w:r w:rsidRPr="007B004D">
        <w:rPr>
          <w:rFonts w:ascii="Calibri" w:hAnsi="Calibri" w:cs="Calibri"/>
        </w:rPr>
        <w:t>locis</w:t>
      </w:r>
      <w:proofErr w:type="spellEnd"/>
      <w:r w:rsidRPr="007B004D">
        <w:rPr>
          <w:rFonts w:ascii="Calibri" w:hAnsi="Calibri" w:cs="Calibri"/>
        </w:rPr>
        <w:t xml:space="preserve">. </w:t>
      </w:r>
      <w:proofErr w:type="spellStart"/>
      <w:r w:rsidRPr="007B004D">
        <w:rPr>
          <w:rFonts w:ascii="Calibri" w:hAnsi="Calibri" w:cs="Calibri"/>
        </w:rPr>
        <w:t>Impensis</w:t>
      </w:r>
      <w:proofErr w:type="spellEnd"/>
      <w:r w:rsidRPr="007B004D">
        <w:rPr>
          <w:rFonts w:ascii="Calibri" w:hAnsi="Calibri" w:cs="Calibri"/>
        </w:rPr>
        <w:t xml:space="preserve"> Direct. </w:t>
      </w:r>
      <w:proofErr w:type="spellStart"/>
      <w:r w:rsidRPr="007B004D">
        <w:rPr>
          <w:rFonts w:ascii="Calibri" w:hAnsi="Calibri" w:cs="Calibri"/>
        </w:rPr>
        <w:t>Laurentii</w:t>
      </w:r>
      <w:proofErr w:type="spellEnd"/>
      <w:r w:rsidRPr="007B004D">
        <w:rPr>
          <w:rFonts w:ascii="Calibri" w:hAnsi="Calibri" w:cs="Calibri"/>
        </w:rPr>
        <w:t xml:space="preserve"> </w:t>
      </w:r>
      <w:proofErr w:type="spellStart"/>
      <w:r w:rsidRPr="007B004D">
        <w:rPr>
          <w:rFonts w:ascii="Calibri" w:hAnsi="Calibri" w:cs="Calibri"/>
        </w:rPr>
        <w:t>Salvii</w:t>
      </w:r>
      <w:proofErr w:type="spellEnd"/>
      <w:r w:rsidRPr="007B004D">
        <w:rPr>
          <w:rFonts w:ascii="Calibri" w:hAnsi="Calibri" w:cs="Calibri"/>
        </w:rPr>
        <w:t xml:space="preserve">, </w:t>
      </w:r>
      <w:proofErr w:type="spellStart"/>
      <w:r w:rsidRPr="007B004D">
        <w:rPr>
          <w:rFonts w:ascii="Calibri" w:hAnsi="Calibri" w:cs="Calibri"/>
        </w:rPr>
        <w:t>Holmiae</w:t>
      </w:r>
      <w:proofErr w:type="spellEnd"/>
      <w:r w:rsidRPr="007B004D">
        <w:rPr>
          <w:rFonts w:ascii="Calibri" w:hAnsi="Calibri" w:cs="Calibri"/>
        </w:rPr>
        <w:t>.</w:t>
      </w:r>
    </w:p>
    <w:p w14:paraId="73C7A520" w14:textId="77777777" w:rsidR="007B004D" w:rsidRPr="007B004D" w:rsidRDefault="007B004D" w:rsidP="007B004D">
      <w:pPr>
        <w:pStyle w:val="Bibliography"/>
        <w:rPr>
          <w:rFonts w:ascii="Calibri" w:hAnsi="Calibri" w:cs="Calibri"/>
        </w:rPr>
      </w:pPr>
      <w:proofErr w:type="spellStart"/>
      <w:r w:rsidRPr="007B004D">
        <w:rPr>
          <w:rFonts w:ascii="Calibri" w:hAnsi="Calibri" w:cs="Calibri"/>
        </w:rPr>
        <w:t>Marbà</w:t>
      </w:r>
      <w:proofErr w:type="spellEnd"/>
      <w:r w:rsidRPr="007B004D">
        <w:rPr>
          <w:rFonts w:ascii="Calibri" w:hAnsi="Calibri" w:cs="Calibri"/>
        </w:rPr>
        <w:t xml:space="preserve">, N., D. Krause-Jensen, B. Olesen, P. B. Christensen, A. Merzouk, J. Rodrigues, S. Wegeberg, and R. T. Wilce. 2017. Climate change stimulates the growth of the intertidal macroalgae Ascophyllum nodosum near the northern distribution limit. </w:t>
      </w:r>
      <w:proofErr w:type="spellStart"/>
      <w:r w:rsidRPr="007B004D">
        <w:rPr>
          <w:rFonts w:ascii="Calibri" w:hAnsi="Calibri" w:cs="Calibri"/>
        </w:rPr>
        <w:t>Ambio</w:t>
      </w:r>
      <w:proofErr w:type="spellEnd"/>
      <w:r w:rsidRPr="007B004D">
        <w:rPr>
          <w:rFonts w:ascii="Calibri" w:hAnsi="Calibri" w:cs="Calibri"/>
        </w:rPr>
        <w:t xml:space="preserve"> 46:119–131.</w:t>
      </w:r>
    </w:p>
    <w:p w14:paraId="4D16A96C" w14:textId="77777777" w:rsidR="007B004D" w:rsidRPr="007B004D" w:rsidRDefault="007B004D" w:rsidP="007B004D">
      <w:pPr>
        <w:pStyle w:val="Bibliography"/>
        <w:rPr>
          <w:rFonts w:ascii="Calibri" w:hAnsi="Calibri" w:cs="Calibri"/>
        </w:rPr>
      </w:pPr>
      <w:r w:rsidRPr="007B004D">
        <w:rPr>
          <w:rFonts w:ascii="Calibri" w:hAnsi="Calibri" w:cs="Calibri"/>
        </w:rPr>
        <w:t>Minchin, P., and L. Rennie. 2010. Does the Hellinger transformation make PCA a viable method for community ordination? 95th Annual ESA Meeting Contributed Oral Papers.</w:t>
      </w:r>
    </w:p>
    <w:p w14:paraId="796E642E" w14:textId="77777777" w:rsidR="007B004D" w:rsidRPr="007B004D" w:rsidRDefault="007B004D" w:rsidP="007B004D">
      <w:pPr>
        <w:pStyle w:val="Bibliography"/>
        <w:rPr>
          <w:rFonts w:ascii="Calibri" w:hAnsi="Calibri" w:cs="Calibri"/>
        </w:rPr>
      </w:pPr>
      <w:r w:rsidRPr="007B004D">
        <w:rPr>
          <w:rFonts w:ascii="Calibri" w:hAnsi="Calibri" w:cs="Calibri"/>
        </w:rPr>
        <w:lastRenderedPageBreak/>
        <w:t>Northeast Temperate Network. 2021, January 1. Long-term Rocky Intertidal - Database. https://irma.nps.gov/DataStore/Reference/Profile/2289832.</w:t>
      </w:r>
    </w:p>
    <w:p w14:paraId="1B0631A6" w14:textId="77777777" w:rsidR="007B004D" w:rsidRPr="007B004D" w:rsidRDefault="007B004D" w:rsidP="007B004D">
      <w:pPr>
        <w:pStyle w:val="Bibliography"/>
        <w:rPr>
          <w:rFonts w:ascii="Calibri" w:hAnsi="Calibri" w:cs="Calibri"/>
        </w:rPr>
      </w:pPr>
      <w:r w:rsidRPr="007B004D">
        <w:rPr>
          <w:rFonts w:ascii="Calibri" w:hAnsi="Calibri" w:cs="Calibri"/>
        </w:rPr>
        <w:t xml:space="preserve">Parrot, D., M. Blümel, C. </w:t>
      </w:r>
      <w:proofErr w:type="spellStart"/>
      <w:r w:rsidRPr="007B004D">
        <w:rPr>
          <w:rFonts w:ascii="Calibri" w:hAnsi="Calibri" w:cs="Calibri"/>
        </w:rPr>
        <w:t>Utermann</w:t>
      </w:r>
      <w:proofErr w:type="spellEnd"/>
      <w:r w:rsidRPr="007B004D">
        <w:rPr>
          <w:rFonts w:ascii="Calibri" w:hAnsi="Calibri" w:cs="Calibri"/>
        </w:rPr>
        <w:t xml:space="preserve">, G. Chianese, S. Krause, A. Kovalev, S. N. Gorb, and D. </w:t>
      </w:r>
      <w:proofErr w:type="spellStart"/>
      <w:r w:rsidRPr="007B004D">
        <w:rPr>
          <w:rFonts w:ascii="Calibri" w:hAnsi="Calibri" w:cs="Calibri"/>
        </w:rPr>
        <w:t>Tasdemir</w:t>
      </w:r>
      <w:proofErr w:type="spellEnd"/>
      <w:r w:rsidRPr="007B004D">
        <w:rPr>
          <w:rFonts w:ascii="Calibri" w:hAnsi="Calibri" w:cs="Calibri"/>
        </w:rPr>
        <w:t>. 2019. Mapping the Surface Microbiome and Metabolome of Brown Seaweed Fucus vesiculosus by Amplicon Sequencing, Integrated Metabolomics and Imaging Techniques. Scientific Reports 9:1061.</w:t>
      </w:r>
    </w:p>
    <w:p w14:paraId="57AB675F" w14:textId="77777777" w:rsidR="007B004D" w:rsidRPr="007B004D" w:rsidRDefault="007B004D" w:rsidP="007B004D">
      <w:pPr>
        <w:pStyle w:val="Bibliography"/>
        <w:rPr>
          <w:rFonts w:ascii="Calibri" w:hAnsi="Calibri" w:cs="Calibri"/>
        </w:rPr>
      </w:pPr>
      <w:r w:rsidRPr="007B004D">
        <w:rPr>
          <w:rFonts w:ascii="Calibri" w:hAnsi="Calibri" w:cs="Calibri"/>
        </w:rPr>
        <w:t xml:space="preserve">Perry, F., E. </w:t>
      </w:r>
      <w:proofErr w:type="spellStart"/>
      <w:r w:rsidRPr="007B004D">
        <w:rPr>
          <w:rFonts w:ascii="Calibri" w:hAnsi="Calibri" w:cs="Calibri"/>
        </w:rPr>
        <w:t>d’Avack</w:t>
      </w:r>
      <w:proofErr w:type="spellEnd"/>
      <w:r w:rsidRPr="007B004D">
        <w:rPr>
          <w:rFonts w:ascii="Calibri" w:hAnsi="Calibri" w:cs="Calibri"/>
        </w:rPr>
        <w:t>, and J. Hill. 2020. Ascophyllum nodosum and Fucus vesiculosus on variable salinity mid eulittoral rock.</w:t>
      </w:r>
    </w:p>
    <w:p w14:paraId="65A99EF2" w14:textId="77777777" w:rsidR="007B004D" w:rsidRPr="007B004D" w:rsidRDefault="007B004D" w:rsidP="007B004D">
      <w:pPr>
        <w:pStyle w:val="Bibliography"/>
        <w:rPr>
          <w:rFonts w:ascii="Calibri" w:hAnsi="Calibri" w:cs="Calibri"/>
        </w:rPr>
      </w:pPr>
      <w:r w:rsidRPr="007B004D">
        <w:rPr>
          <w:rFonts w:ascii="Calibri" w:hAnsi="Calibri" w:cs="Calibri"/>
        </w:rPr>
        <w:t xml:space="preserve">Putnam, A. B., S. C. </w:t>
      </w:r>
      <w:proofErr w:type="spellStart"/>
      <w:r w:rsidRPr="007B004D">
        <w:rPr>
          <w:rFonts w:ascii="Calibri" w:hAnsi="Calibri" w:cs="Calibri"/>
        </w:rPr>
        <w:t>Endyke</w:t>
      </w:r>
      <w:proofErr w:type="spellEnd"/>
      <w:r w:rsidRPr="007B004D">
        <w:rPr>
          <w:rFonts w:ascii="Calibri" w:hAnsi="Calibri" w:cs="Calibri"/>
        </w:rPr>
        <w:t>, A. R. Jones, L. A. D. Lockwood, J. Taylor, M. Albert, and M. D. Staudinger. 2024. Historical insights, current challenges: tracking marine biodiversity in an urban harbor ecosystem in the face of climate change. Marine Biodiversity 54.</w:t>
      </w:r>
    </w:p>
    <w:p w14:paraId="37439849" w14:textId="77777777" w:rsidR="007B004D" w:rsidRPr="007B004D" w:rsidRDefault="007B004D" w:rsidP="007B004D">
      <w:pPr>
        <w:pStyle w:val="Bibliography"/>
        <w:rPr>
          <w:rFonts w:ascii="Calibri" w:hAnsi="Calibri" w:cs="Calibri"/>
        </w:rPr>
      </w:pPr>
      <w:r w:rsidRPr="007B004D">
        <w:rPr>
          <w:rFonts w:ascii="Calibri" w:hAnsi="Calibri" w:cs="Calibri"/>
        </w:rPr>
        <w:t xml:space="preserve">Råberg, S., and L. Kautsky. 2007. A comparative biodiversity study of the associated fauna of perennial </w:t>
      </w:r>
      <w:proofErr w:type="spellStart"/>
      <w:r w:rsidRPr="007B004D">
        <w:rPr>
          <w:rFonts w:ascii="Calibri" w:hAnsi="Calibri" w:cs="Calibri"/>
        </w:rPr>
        <w:t>fucoids</w:t>
      </w:r>
      <w:proofErr w:type="spellEnd"/>
      <w:r w:rsidRPr="007B004D">
        <w:rPr>
          <w:rFonts w:ascii="Calibri" w:hAnsi="Calibri" w:cs="Calibri"/>
        </w:rPr>
        <w:t xml:space="preserve"> and filamentous algae. Estuarine, Coastal and Shelf Science 73:249–258.</w:t>
      </w:r>
    </w:p>
    <w:p w14:paraId="3735F15A" w14:textId="77777777" w:rsidR="007B004D" w:rsidRPr="007B004D" w:rsidRDefault="007B004D" w:rsidP="007B004D">
      <w:pPr>
        <w:pStyle w:val="Bibliography"/>
        <w:rPr>
          <w:rFonts w:ascii="Calibri" w:hAnsi="Calibri" w:cs="Calibri"/>
        </w:rPr>
      </w:pPr>
      <w:r w:rsidRPr="007B004D">
        <w:rPr>
          <w:rFonts w:ascii="Calibri" w:hAnsi="Calibri" w:cs="Calibri"/>
        </w:rPr>
        <w:t>Trott, T. J. 2022. Mesoscale Spatial Patterns of Gulf of Maine Rocky Intertidal Communities. Diversity 14:557.</w:t>
      </w:r>
    </w:p>
    <w:p w14:paraId="2B78D274" w14:textId="77777777" w:rsidR="007B004D" w:rsidRPr="007B004D" w:rsidRDefault="007B004D" w:rsidP="007B004D">
      <w:pPr>
        <w:pStyle w:val="Bibliography"/>
        <w:rPr>
          <w:rFonts w:ascii="Calibri" w:hAnsi="Calibri" w:cs="Calibri"/>
        </w:rPr>
      </w:pPr>
      <w:r w:rsidRPr="007B004D">
        <w:rPr>
          <w:rFonts w:ascii="Calibri" w:hAnsi="Calibri" w:cs="Calibri"/>
        </w:rPr>
        <w:t xml:space="preserve">Watson, D. C., and T. A. Norton. 1985. Dietary preferences of the common periwinkle, </w:t>
      </w:r>
      <w:proofErr w:type="spellStart"/>
      <w:r w:rsidRPr="007B004D">
        <w:rPr>
          <w:rFonts w:ascii="Calibri" w:hAnsi="Calibri" w:cs="Calibri"/>
        </w:rPr>
        <w:t>Littorinalittorea</w:t>
      </w:r>
      <w:proofErr w:type="spellEnd"/>
      <w:r w:rsidRPr="007B004D">
        <w:rPr>
          <w:rFonts w:ascii="Calibri" w:hAnsi="Calibri" w:cs="Calibri"/>
        </w:rPr>
        <w:t xml:space="preserve"> (L.). Journal of Experimental Marine Biology and Ecology 88:193–211.</w:t>
      </w:r>
    </w:p>
    <w:p w14:paraId="552E6DED" w14:textId="77777777" w:rsidR="007B004D" w:rsidRPr="007B004D" w:rsidRDefault="007B004D" w:rsidP="007B004D">
      <w:pPr>
        <w:pStyle w:val="Bibliography"/>
        <w:rPr>
          <w:rFonts w:ascii="Calibri" w:hAnsi="Calibri" w:cs="Calibri"/>
        </w:rPr>
      </w:pPr>
      <w:r w:rsidRPr="007B004D">
        <w:rPr>
          <w:rFonts w:ascii="Calibri" w:hAnsi="Calibri" w:cs="Calibri"/>
        </w:rPr>
        <w:t xml:space="preserve">Watson, D. C., and T. A. Norton. 1987. The habitat and feeding preferences of Littorina obtusata (L.) and L. </w:t>
      </w:r>
      <w:proofErr w:type="spellStart"/>
      <w:r w:rsidRPr="007B004D">
        <w:rPr>
          <w:rFonts w:ascii="Calibri" w:hAnsi="Calibri" w:cs="Calibri"/>
        </w:rPr>
        <w:t>mariae</w:t>
      </w:r>
      <w:proofErr w:type="spellEnd"/>
      <w:r w:rsidRPr="007B004D">
        <w:rPr>
          <w:rFonts w:ascii="Calibri" w:hAnsi="Calibri" w:cs="Calibri"/>
        </w:rPr>
        <w:t xml:space="preserve"> </w:t>
      </w:r>
      <w:proofErr w:type="spellStart"/>
      <w:r w:rsidRPr="007B004D">
        <w:rPr>
          <w:rFonts w:ascii="Calibri" w:hAnsi="Calibri" w:cs="Calibri"/>
        </w:rPr>
        <w:t>sacchi</w:t>
      </w:r>
      <w:proofErr w:type="spellEnd"/>
      <w:r w:rsidRPr="007B004D">
        <w:rPr>
          <w:rFonts w:ascii="Calibri" w:hAnsi="Calibri" w:cs="Calibri"/>
        </w:rPr>
        <w:t xml:space="preserve"> et </w:t>
      </w:r>
      <w:proofErr w:type="spellStart"/>
      <w:r w:rsidRPr="007B004D">
        <w:rPr>
          <w:rFonts w:ascii="Calibri" w:hAnsi="Calibri" w:cs="Calibri"/>
        </w:rPr>
        <w:t>rastelli</w:t>
      </w:r>
      <w:proofErr w:type="spellEnd"/>
      <w:r w:rsidRPr="007B004D">
        <w:rPr>
          <w:rFonts w:ascii="Calibri" w:hAnsi="Calibri" w:cs="Calibri"/>
        </w:rPr>
        <w:t>. Journal of Experimental Marine Biology and Ecology 112:61–72.</w:t>
      </w:r>
    </w:p>
    <w:p w14:paraId="713C095E" w14:textId="77777777" w:rsidR="007B004D" w:rsidRPr="007B004D" w:rsidRDefault="007B004D" w:rsidP="007B004D">
      <w:pPr>
        <w:pStyle w:val="Bibliography"/>
        <w:rPr>
          <w:rFonts w:ascii="Calibri" w:hAnsi="Calibri" w:cs="Calibri"/>
        </w:rPr>
      </w:pPr>
      <w:proofErr w:type="spellStart"/>
      <w:r w:rsidRPr="007B004D">
        <w:rPr>
          <w:rFonts w:ascii="Calibri" w:hAnsi="Calibri" w:cs="Calibri"/>
        </w:rPr>
        <w:t>Westerbom</w:t>
      </w:r>
      <w:proofErr w:type="spellEnd"/>
      <w:r w:rsidRPr="007B004D">
        <w:rPr>
          <w:rFonts w:ascii="Calibri" w:hAnsi="Calibri" w:cs="Calibri"/>
        </w:rPr>
        <w:t>, M., and M. Koivisto. 2022. Mussels and canopy-forming algae as ecosystem engineers: their contribution to community organization in the rocky sublittoral. Frontiers in Marine Science 9.</w:t>
      </w:r>
    </w:p>
    <w:p w14:paraId="6594A1C2" w14:textId="5869A02B" w:rsidR="00910C71" w:rsidRPr="00910C71" w:rsidRDefault="00910C71" w:rsidP="00910C71">
      <w:r>
        <w:fldChar w:fldCharType="end"/>
      </w:r>
    </w:p>
    <w:sectPr w:rsidR="00910C71" w:rsidRPr="00910C71" w:rsidSect="00E2403E">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70656" w14:textId="77777777" w:rsidR="006338BC" w:rsidRDefault="006338BC">
      <w:pPr>
        <w:spacing w:after="0" w:line="240" w:lineRule="auto"/>
      </w:pPr>
      <w:r>
        <w:separator/>
      </w:r>
    </w:p>
  </w:endnote>
  <w:endnote w:type="continuationSeparator" w:id="0">
    <w:p w14:paraId="539EA411" w14:textId="77777777" w:rsidR="006338BC" w:rsidRDefault="00633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sz w:val="16"/>
        <w:szCs w:val="16"/>
      </w:rPr>
      <w:id w:val="-1274398745"/>
      <w:docPartObj>
        <w:docPartGallery w:val="Page Numbers (Bottom of Page)"/>
        <w:docPartUnique/>
      </w:docPartObj>
    </w:sdtPr>
    <w:sdtEndPr>
      <w:rPr>
        <w:noProof/>
        <w:sz w:val="18"/>
        <w:szCs w:val="18"/>
      </w:rPr>
    </w:sdtEndPr>
    <w:sdtContent>
      <w:p w14:paraId="7826AAB5" w14:textId="77777777" w:rsidR="00E2403E" w:rsidRPr="00B55F80" w:rsidRDefault="00E2403E">
        <w:pPr>
          <w:pStyle w:val="Footer"/>
          <w:jc w:val="right"/>
          <w:rPr>
            <w:rFonts w:ascii="Calibri" w:hAnsi="Calibri" w:cs="Calibri"/>
            <w:sz w:val="18"/>
            <w:szCs w:val="18"/>
          </w:rPr>
        </w:pPr>
        <w:r w:rsidRPr="00B55F80">
          <w:rPr>
            <w:rFonts w:ascii="Calibri" w:hAnsi="Calibri" w:cs="Calibri"/>
            <w:sz w:val="18"/>
            <w:szCs w:val="18"/>
          </w:rPr>
          <w:fldChar w:fldCharType="begin"/>
        </w:r>
        <w:r w:rsidRPr="00B55F80">
          <w:rPr>
            <w:rFonts w:ascii="Calibri" w:hAnsi="Calibri" w:cs="Calibri"/>
            <w:sz w:val="18"/>
            <w:szCs w:val="18"/>
          </w:rPr>
          <w:instrText xml:space="preserve"> PAGE   \* MERGEFORMAT </w:instrText>
        </w:r>
        <w:r w:rsidRPr="00B55F80">
          <w:rPr>
            <w:rFonts w:ascii="Calibri" w:hAnsi="Calibri" w:cs="Calibri"/>
            <w:sz w:val="18"/>
            <w:szCs w:val="18"/>
          </w:rPr>
          <w:fldChar w:fldCharType="separate"/>
        </w:r>
        <w:r w:rsidRPr="00B55F80">
          <w:rPr>
            <w:rFonts w:ascii="Calibri" w:hAnsi="Calibri" w:cs="Calibri"/>
            <w:noProof/>
            <w:sz w:val="18"/>
            <w:szCs w:val="18"/>
          </w:rPr>
          <w:t>2</w:t>
        </w:r>
        <w:r w:rsidRPr="00B55F80">
          <w:rPr>
            <w:rFonts w:ascii="Calibri" w:hAnsi="Calibri" w:cs="Calibri"/>
            <w:noProof/>
            <w:sz w:val="18"/>
            <w:szCs w:val="18"/>
          </w:rPr>
          <w:fldChar w:fldCharType="end"/>
        </w:r>
      </w:p>
    </w:sdtContent>
  </w:sdt>
  <w:p w14:paraId="7E6FE6E6" w14:textId="77777777" w:rsidR="00E2403E" w:rsidRDefault="00E2403E">
    <w:pPr>
      <w:pStyle w:val="Footer"/>
      <w:rPr>
        <w:rFonts w:ascii="Calibri" w:hAnsi="Calibri" w:cs="Calibri"/>
        <w:sz w:val="18"/>
        <w:szCs w:val="18"/>
      </w:rPr>
    </w:pPr>
  </w:p>
  <w:p w14:paraId="25F9FD38" w14:textId="77777777" w:rsidR="00E2403E" w:rsidRPr="00B55F80" w:rsidRDefault="00E2403E">
    <w:pPr>
      <w:pStyle w:val="Footer"/>
      <w:rPr>
        <w:rFonts w:ascii="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DD5E5" w14:textId="77777777" w:rsidR="006338BC" w:rsidRDefault="006338BC">
      <w:pPr>
        <w:spacing w:after="0" w:line="240" w:lineRule="auto"/>
      </w:pPr>
      <w:r>
        <w:separator/>
      </w:r>
    </w:p>
  </w:footnote>
  <w:footnote w:type="continuationSeparator" w:id="0">
    <w:p w14:paraId="488BC17C" w14:textId="77777777" w:rsidR="006338BC" w:rsidRDefault="00633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E8138" w14:textId="23F51C06" w:rsidR="00E2403E" w:rsidRPr="00773F33" w:rsidRDefault="0097389A" w:rsidP="00773F33">
    <w:pPr>
      <w:pStyle w:val="Header"/>
    </w:pPr>
    <w:r>
      <w:rPr>
        <w:rFonts w:ascii="Calibri" w:hAnsi="Calibri" w:cs="Calibri"/>
        <w:bCs/>
        <w:i/>
        <w:iCs/>
        <w:color w:val="808080" w:themeColor="background1" w:themeShade="80"/>
        <w:sz w:val="16"/>
        <w:szCs w:val="16"/>
      </w:rPr>
      <w:t>Predicting Abundance of Key Algal Species in the Rocky Intertidal of Acadia National Park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64405"/>
    <w:multiLevelType w:val="hybridMultilevel"/>
    <w:tmpl w:val="A55C41C2"/>
    <w:lvl w:ilvl="0" w:tplc="D200EF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F7FCE"/>
    <w:multiLevelType w:val="multilevel"/>
    <w:tmpl w:val="9364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92B9D"/>
    <w:multiLevelType w:val="multilevel"/>
    <w:tmpl w:val="6D7003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D7423C0"/>
    <w:multiLevelType w:val="hybridMultilevel"/>
    <w:tmpl w:val="5B1A77E6"/>
    <w:lvl w:ilvl="0" w:tplc="48E4D522">
      <w:start w:val="7"/>
      <w:numFmt w:val="bullet"/>
      <w:pStyle w:val="bulletedlis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FF07F6"/>
    <w:multiLevelType w:val="hybridMultilevel"/>
    <w:tmpl w:val="1E446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55F0F"/>
    <w:multiLevelType w:val="hybridMultilevel"/>
    <w:tmpl w:val="DBD62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133649"/>
    <w:multiLevelType w:val="hybridMultilevel"/>
    <w:tmpl w:val="E152ADF2"/>
    <w:lvl w:ilvl="0" w:tplc="8AE85434">
      <w:start w:val="1"/>
      <w:numFmt w:val="bullet"/>
      <w:pStyle w:val="Sub-bullets"/>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EB07AF"/>
    <w:multiLevelType w:val="hybridMultilevel"/>
    <w:tmpl w:val="570CC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87054"/>
    <w:multiLevelType w:val="hybridMultilevel"/>
    <w:tmpl w:val="0D48D234"/>
    <w:lvl w:ilvl="0" w:tplc="5E569B4A">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1410273">
    <w:abstractNumId w:val="3"/>
  </w:num>
  <w:num w:numId="2" w16cid:durableId="1893542762">
    <w:abstractNumId w:val="2"/>
  </w:num>
  <w:num w:numId="3" w16cid:durableId="1770078338">
    <w:abstractNumId w:val="6"/>
  </w:num>
  <w:num w:numId="4" w16cid:durableId="82529714">
    <w:abstractNumId w:val="8"/>
  </w:num>
  <w:num w:numId="5" w16cid:durableId="1835800954">
    <w:abstractNumId w:val="0"/>
  </w:num>
  <w:num w:numId="6" w16cid:durableId="1114906106">
    <w:abstractNumId w:val="1"/>
  </w:num>
  <w:num w:numId="7" w16cid:durableId="1595939467">
    <w:abstractNumId w:val="4"/>
  </w:num>
  <w:num w:numId="8" w16cid:durableId="495852174">
    <w:abstractNumId w:val="5"/>
  </w:num>
  <w:num w:numId="9" w16cid:durableId="20768559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31"/>
    <w:rsid w:val="00007B9B"/>
    <w:rsid w:val="000315D0"/>
    <w:rsid w:val="00035695"/>
    <w:rsid w:val="00042B05"/>
    <w:rsid w:val="000501AD"/>
    <w:rsid w:val="00085F82"/>
    <w:rsid w:val="00090F42"/>
    <w:rsid w:val="000F08FF"/>
    <w:rsid w:val="00112A76"/>
    <w:rsid w:val="0019456F"/>
    <w:rsid w:val="001A23B4"/>
    <w:rsid w:val="001B4272"/>
    <w:rsid w:val="001D35B9"/>
    <w:rsid w:val="001E1EA6"/>
    <w:rsid w:val="001F718F"/>
    <w:rsid w:val="002065CE"/>
    <w:rsid w:val="0021395A"/>
    <w:rsid w:val="00240F41"/>
    <w:rsid w:val="00257DC1"/>
    <w:rsid w:val="0026023F"/>
    <w:rsid w:val="00263880"/>
    <w:rsid w:val="002718F2"/>
    <w:rsid w:val="00272086"/>
    <w:rsid w:val="002C754F"/>
    <w:rsid w:val="002E12DB"/>
    <w:rsid w:val="002F3C95"/>
    <w:rsid w:val="0030622F"/>
    <w:rsid w:val="00323D73"/>
    <w:rsid w:val="00352C3A"/>
    <w:rsid w:val="00360FDF"/>
    <w:rsid w:val="00367990"/>
    <w:rsid w:val="00372687"/>
    <w:rsid w:val="00374B7D"/>
    <w:rsid w:val="0038274F"/>
    <w:rsid w:val="00384144"/>
    <w:rsid w:val="00393964"/>
    <w:rsid w:val="0039438D"/>
    <w:rsid w:val="003B246D"/>
    <w:rsid w:val="003B49B8"/>
    <w:rsid w:val="003C2DE7"/>
    <w:rsid w:val="003D0C8F"/>
    <w:rsid w:val="003D727D"/>
    <w:rsid w:val="003F0739"/>
    <w:rsid w:val="003F6079"/>
    <w:rsid w:val="003F6F31"/>
    <w:rsid w:val="00415E50"/>
    <w:rsid w:val="00425093"/>
    <w:rsid w:val="004327F3"/>
    <w:rsid w:val="004328C3"/>
    <w:rsid w:val="0048200C"/>
    <w:rsid w:val="0048495F"/>
    <w:rsid w:val="004A4225"/>
    <w:rsid w:val="004E53CF"/>
    <w:rsid w:val="004F79E6"/>
    <w:rsid w:val="005006E3"/>
    <w:rsid w:val="005152B4"/>
    <w:rsid w:val="00516F93"/>
    <w:rsid w:val="0055406D"/>
    <w:rsid w:val="0057306E"/>
    <w:rsid w:val="005765A2"/>
    <w:rsid w:val="00577B25"/>
    <w:rsid w:val="00585EAA"/>
    <w:rsid w:val="005A3C7E"/>
    <w:rsid w:val="005C6FCA"/>
    <w:rsid w:val="0060462D"/>
    <w:rsid w:val="0061081F"/>
    <w:rsid w:val="00622B6A"/>
    <w:rsid w:val="006338BC"/>
    <w:rsid w:val="00635B2F"/>
    <w:rsid w:val="00640077"/>
    <w:rsid w:val="0065061F"/>
    <w:rsid w:val="00694512"/>
    <w:rsid w:val="006A66A1"/>
    <w:rsid w:val="006F55F2"/>
    <w:rsid w:val="006F6114"/>
    <w:rsid w:val="00723845"/>
    <w:rsid w:val="0075180D"/>
    <w:rsid w:val="0076246E"/>
    <w:rsid w:val="007720E3"/>
    <w:rsid w:val="007721AE"/>
    <w:rsid w:val="00773F33"/>
    <w:rsid w:val="00796C0F"/>
    <w:rsid w:val="007A3CB2"/>
    <w:rsid w:val="007B004D"/>
    <w:rsid w:val="007F4A74"/>
    <w:rsid w:val="00835706"/>
    <w:rsid w:val="00887E99"/>
    <w:rsid w:val="008C2B65"/>
    <w:rsid w:val="008E0E03"/>
    <w:rsid w:val="00910C71"/>
    <w:rsid w:val="0091697C"/>
    <w:rsid w:val="00931A50"/>
    <w:rsid w:val="00933195"/>
    <w:rsid w:val="009435AB"/>
    <w:rsid w:val="00971EB5"/>
    <w:rsid w:val="0097389A"/>
    <w:rsid w:val="009F7DEC"/>
    <w:rsid w:val="00A04FA8"/>
    <w:rsid w:val="00AB12F7"/>
    <w:rsid w:val="00AD3EC1"/>
    <w:rsid w:val="00AD55AE"/>
    <w:rsid w:val="00AF4A06"/>
    <w:rsid w:val="00B25809"/>
    <w:rsid w:val="00B421C8"/>
    <w:rsid w:val="00B44B75"/>
    <w:rsid w:val="00B46DB7"/>
    <w:rsid w:val="00B7352A"/>
    <w:rsid w:val="00B82F1E"/>
    <w:rsid w:val="00BA55B0"/>
    <w:rsid w:val="00BC4288"/>
    <w:rsid w:val="00BD2B01"/>
    <w:rsid w:val="00BD3CD2"/>
    <w:rsid w:val="00BD4DAB"/>
    <w:rsid w:val="00BE4A08"/>
    <w:rsid w:val="00BF025B"/>
    <w:rsid w:val="00BF5DDB"/>
    <w:rsid w:val="00C06613"/>
    <w:rsid w:val="00C15CC7"/>
    <w:rsid w:val="00C315D2"/>
    <w:rsid w:val="00C326E2"/>
    <w:rsid w:val="00C72D66"/>
    <w:rsid w:val="00CD5414"/>
    <w:rsid w:val="00CE295A"/>
    <w:rsid w:val="00D330E6"/>
    <w:rsid w:val="00D36C86"/>
    <w:rsid w:val="00D7064A"/>
    <w:rsid w:val="00D757B4"/>
    <w:rsid w:val="00D77685"/>
    <w:rsid w:val="00D82A90"/>
    <w:rsid w:val="00D95954"/>
    <w:rsid w:val="00DB1E27"/>
    <w:rsid w:val="00E20D2E"/>
    <w:rsid w:val="00E21057"/>
    <w:rsid w:val="00E2403E"/>
    <w:rsid w:val="00E24C6B"/>
    <w:rsid w:val="00E30EC7"/>
    <w:rsid w:val="00E70821"/>
    <w:rsid w:val="00E96516"/>
    <w:rsid w:val="00EE69B8"/>
    <w:rsid w:val="00F01B11"/>
    <w:rsid w:val="00F01C7C"/>
    <w:rsid w:val="00F24F00"/>
    <w:rsid w:val="00F43FE0"/>
    <w:rsid w:val="00F44EF2"/>
    <w:rsid w:val="00F546EF"/>
    <w:rsid w:val="00F94CDF"/>
    <w:rsid w:val="00FA2B73"/>
    <w:rsid w:val="00FC5A52"/>
    <w:rsid w:val="00FC5CA0"/>
    <w:rsid w:val="00FE7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4574A"/>
  <w15:chartTrackingRefBased/>
  <w15:docId w15:val="{8CFFD0E0-25C4-4B5D-864F-5F1F8228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6E3"/>
    <w:rPr>
      <w:kern w:val="2"/>
      <w14:ligatures w14:val="standardContextual"/>
    </w:rPr>
  </w:style>
  <w:style w:type="paragraph" w:styleId="Heading1">
    <w:name w:val="heading 1"/>
    <w:basedOn w:val="Normal"/>
    <w:next w:val="Normal"/>
    <w:link w:val="Heading1Char"/>
    <w:uiPriority w:val="9"/>
    <w:qFormat/>
    <w:rsid w:val="005006E3"/>
    <w:pPr>
      <w:keepNext/>
      <w:keepLines/>
      <w:numPr>
        <w:numId w:val="2"/>
      </w:numPr>
      <w:spacing w:before="1200" w:after="80"/>
      <w:outlineLvl w:val="0"/>
    </w:pPr>
    <w:rPr>
      <w:rFonts w:ascii="Calibri" w:eastAsiaTheme="majorEastAsia" w:hAnsi="Calibri" w:cs="Calibri"/>
      <w:b/>
      <w:bCs/>
      <w:sz w:val="36"/>
      <w:szCs w:val="36"/>
    </w:rPr>
  </w:style>
  <w:style w:type="paragraph" w:styleId="Heading2">
    <w:name w:val="heading 2"/>
    <w:basedOn w:val="Normal"/>
    <w:next w:val="Normal"/>
    <w:link w:val="Heading2Char"/>
    <w:autoRedefine/>
    <w:uiPriority w:val="9"/>
    <w:unhideWhenUsed/>
    <w:qFormat/>
    <w:rsid w:val="005C6FCA"/>
    <w:pPr>
      <w:keepNext/>
      <w:keepLines/>
      <w:numPr>
        <w:ilvl w:val="1"/>
        <w:numId w:val="2"/>
      </w:numPr>
      <w:spacing w:before="360" w:after="80" w:line="480" w:lineRule="auto"/>
      <w:outlineLvl w:val="1"/>
    </w:pPr>
    <w:rPr>
      <w:rFonts w:ascii="Calibri" w:eastAsiaTheme="majorEastAsia" w:hAnsi="Calibri" w:cs="Calibri"/>
      <w:b/>
      <w:bCs/>
      <w:i/>
      <w:iCs/>
      <w:sz w:val="28"/>
      <w:szCs w:val="28"/>
    </w:rPr>
  </w:style>
  <w:style w:type="paragraph" w:styleId="Heading3">
    <w:name w:val="heading 3"/>
    <w:basedOn w:val="Normal"/>
    <w:next w:val="Normal"/>
    <w:link w:val="Heading3Char"/>
    <w:autoRedefine/>
    <w:uiPriority w:val="9"/>
    <w:unhideWhenUsed/>
    <w:qFormat/>
    <w:rsid w:val="0039438D"/>
    <w:pPr>
      <w:keepNext/>
      <w:keepLines/>
      <w:numPr>
        <w:ilvl w:val="2"/>
        <w:numId w:val="2"/>
      </w:numPr>
      <w:spacing w:before="240" w:after="80" w:line="276" w:lineRule="auto"/>
      <w:outlineLvl w:val="2"/>
    </w:pPr>
    <w:rPr>
      <w:rFonts w:ascii="Calibri" w:eastAsiaTheme="majorEastAsia" w:hAnsi="Calibri" w:cs="Calibri"/>
      <w:i/>
      <w:iCs/>
      <w:color w:val="44546A" w:themeColor="text2"/>
      <w:sz w:val="24"/>
      <w:szCs w:val="18"/>
    </w:rPr>
  </w:style>
  <w:style w:type="paragraph" w:styleId="Heading4">
    <w:name w:val="heading 4"/>
    <w:basedOn w:val="Normal"/>
    <w:next w:val="Normal"/>
    <w:link w:val="Heading4Char"/>
    <w:uiPriority w:val="9"/>
    <w:unhideWhenUsed/>
    <w:qFormat/>
    <w:rsid w:val="005006E3"/>
    <w:pPr>
      <w:keepNext/>
      <w:keepLines/>
      <w:numPr>
        <w:ilvl w:val="3"/>
        <w:numId w:val="2"/>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06E3"/>
    <w:pPr>
      <w:keepNext/>
      <w:keepLines/>
      <w:numPr>
        <w:ilvl w:val="4"/>
        <w:numId w:val="2"/>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06E3"/>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6E3"/>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6E3"/>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6E3"/>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6E3"/>
    <w:rPr>
      <w:rFonts w:ascii="Calibri" w:eastAsiaTheme="majorEastAsia" w:hAnsi="Calibri" w:cs="Calibri"/>
      <w:b/>
      <w:bCs/>
      <w:kern w:val="2"/>
      <w:sz w:val="36"/>
      <w:szCs w:val="36"/>
      <w14:ligatures w14:val="standardContextual"/>
    </w:rPr>
  </w:style>
  <w:style w:type="character" w:customStyle="1" w:styleId="Heading2Char">
    <w:name w:val="Heading 2 Char"/>
    <w:basedOn w:val="DefaultParagraphFont"/>
    <w:link w:val="Heading2"/>
    <w:uiPriority w:val="9"/>
    <w:rsid w:val="005C6FCA"/>
    <w:rPr>
      <w:rFonts w:ascii="Calibri" w:eastAsiaTheme="majorEastAsia" w:hAnsi="Calibri" w:cs="Calibri"/>
      <w:b/>
      <w:bCs/>
      <w:i/>
      <w:iCs/>
      <w:kern w:val="2"/>
      <w:sz w:val="28"/>
      <w:szCs w:val="28"/>
      <w14:ligatures w14:val="standardContextual"/>
    </w:rPr>
  </w:style>
  <w:style w:type="character" w:customStyle="1" w:styleId="Heading3Char">
    <w:name w:val="Heading 3 Char"/>
    <w:basedOn w:val="DefaultParagraphFont"/>
    <w:link w:val="Heading3"/>
    <w:uiPriority w:val="9"/>
    <w:rsid w:val="0039438D"/>
    <w:rPr>
      <w:rFonts w:ascii="Calibri" w:eastAsiaTheme="majorEastAsia" w:hAnsi="Calibri" w:cs="Calibri"/>
      <w:i/>
      <w:iCs/>
      <w:color w:val="44546A" w:themeColor="text2"/>
      <w:kern w:val="2"/>
      <w:sz w:val="24"/>
      <w:szCs w:val="18"/>
      <w14:ligatures w14:val="standardContextual"/>
    </w:rPr>
  </w:style>
  <w:style w:type="character" w:customStyle="1" w:styleId="Heading4Char">
    <w:name w:val="Heading 4 Char"/>
    <w:basedOn w:val="DefaultParagraphFont"/>
    <w:link w:val="Heading4"/>
    <w:uiPriority w:val="9"/>
    <w:rsid w:val="005006E3"/>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5006E3"/>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5006E3"/>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5006E3"/>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5006E3"/>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5006E3"/>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5006E3"/>
    <w:pPr>
      <w:spacing w:after="80" w:line="240" w:lineRule="auto"/>
      <w:contextualSpacing/>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5006E3"/>
    <w:rPr>
      <w:rFonts w:asciiTheme="majorHAnsi" w:eastAsiaTheme="majorEastAsia" w:hAnsiTheme="majorHAnsi" w:cstheme="majorBidi"/>
      <w:b/>
      <w:bCs/>
      <w:spacing w:val="-10"/>
      <w:kern w:val="28"/>
      <w:sz w:val="40"/>
      <w:szCs w:val="40"/>
      <w14:ligatures w14:val="standardContextual"/>
    </w:rPr>
  </w:style>
  <w:style w:type="paragraph" w:customStyle="1" w:styleId="BulkofText">
    <w:name w:val="Bulk of Text"/>
    <w:basedOn w:val="Normal"/>
    <w:autoRedefine/>
    <w:qFormat/>
    <w:rsid w:val="00D95954"/>
    <w:pPr>
      <w:spacing w:after="120" w:line="480" w:lineRule="auto"/>
    </w:pPr>
    <w:rPr>
      <w:rFonts w:ascii="Calibri" w:eastAsia="Arial" w:hAnsi="Calibri" w:cs="Calibri"/>
      <w:kern w:val="0"/>
      <w:sz w:val="24"/>
      <w:szCs w:val="24"/>
      <w14:ligatures w14:val="none"/>
    </w:rPr>
  </w:style>
  <w:style w:type="paragraph" w:customStyle="1" w:styleId="bulletedlist">
    <w:name w:val="bulleted list"/>
    <w:basedOn w:val="Normal"/>
    <w:autoRedefine/>
    <w:qFormat/>
    <w:rsid w:val="00CE295A"/>
    <w:pPr>
      <w:numPr>
        <w:numId w:val="1"/>
      </w:numPr>
      <w:tabs>
        <w:tab w:val="left" w:pos="280"/>
      </w:tabs>
      <w:spacing w:after="0" w:line="298" w:lineRule="auto"/>
      <w:ind w:hanging="288"/>
    </w:pPr>
    <w:rPr>
      <w:rFonts w:ascii="Calibri" w:eastAsia="Arial" w:hAnsi="Calibri" w:cs="Calibri"/>
      <w:kern w:val="0"/>
      <w:sz w:val="20"/>
      <w:szCs w:val="18"/>
      <w14:ligatures w14:val="none"/>
    </w:rPr>
  </w:style>
  <w:style w:type="paragraph" w:customStyle="1" w:styleId="TitleNoNumber">
    <w:name w:val="Title No Number"/>
    <w:basedOn w:val="Heading1"/>
    <w:qFormat/>
    <w:rsid w:val="005006E3"/>
    <w:pPr>
      <w:numPr>
        <w:numId w:val="0"/>
      </w:numPr>
    </w:pPr>
  </w:style>
  <w:style w:type="paragraph" w:styleId="Caption">
    <w:name w:val="caption"/>
    <w:basedOn w:val="Normal"/>
    <w:next w:val="Normal"/>
    <w:uiPriority w:val="35"/>
    <w:unhideWhenUsed/>
    <w:qFormat/>
    <w:rsid w:val="005006E3"/>
    <w:pPr>
      <w:spacing w:after="200" w:line="240" w:lineRule="auto"/>
    </w:pPr>
    <w:rPr>
      <w:rFonts w:ascii="Calibri" w:hAnsi="Calibri" w:cs="Calibri"/>
      <w:b/>
      <w:bCs/>
      <w:i/>
      <w:iCs/>
      <w:sz w:val="16"/>
      <w:szCs w:val="16"/>
    </w:rPr>
  </w:style>
  <w:style w:type="table" w:styleId="TableGrid">
    <w:name w:val="Table Grid"/>
    <w:basedOn w:val="TableNormal"/>
    <w:uiPriority w:val="39"/>
    <w:rsid w:val="005006E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nospaceafter">
    <w:name w:val="Table Text - no space after"/>
    <w:basedOn w:val="BulkofText"/>
    <w:qFormat/>
    <w:rsid w:val="005006E3"/>
    <w:pPr>
      <w:spacing w:after="0"/>
      <w:ind w:left="216"/>
    </w:pPr>
  </w:style>
  <w:style w:type="paragraph" w:styleId="Header">
    <w:name w:val="header"/>
    <w:basedOn w:val="Normal"/>
    <w:link w:val="HeaderChar"/>
    <w:uiPriority w:val="99"/>
    <w:unhideWhenUsed/>
    <w:rsid w:val="00500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6E3"/>
    <w:rPr>
      <w:kern w:val="2"/>
      <w14:ligatures w14:val="standardContextual"/>
    </w:rPr>
  </w:style>
  <w:style w:type="paragraph" w:styleId="Footer">
    <w:name w:val="footer"/>
    <w:basedOn w:val="Normal"/>
    <w:link w:val="FooterChar"/>
    <w:uiPriority w:val="99"/>
    <w:unhideWhenUsed/>
    <w:rsid w:val="00500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6E3"/>
    <w:rPr>
      <w:kern w:val="2"/>
      <w14:ligatures w14:val="standardContextual"/>
    </w:rPr>
  </w:style>
  <w:style w:type="paragraph" w:customStyle="1" w:styleId="Sub-bullets">
    <w:name w:val="Sub-bullets"/>
    <w:basedOn w:val="bulletedlist"/>
    <w:qFormat/>
    <w:rsid w:val="005006E3"/>
    <w:pPr>
      <w:numPr>
        <w:numId w:val="3"/>
      </w:numPr>
      <w:ind w:left="1152" w:hanging="288"/>
    </w:pPr>
  </w:style>
  <w:style w:type="table" w:styleId="PlainTable5">
    <w:name w:val="Plain Table 5"/>
    <w:basedOn w:val="TableNormal"/>
    <w:uiPriority w:val="45"/>
    <w:rsid w:val="00AD55A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link w:val="SubtitleChar"/>
    <w:uiPriority w:val="11"/>
    <w:qFormat/>
    <w:rsid w:val="007A3C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A3CB2"/>
    <w:rPr>
      <w:rFonts w:eastAsiaTheme="minorEastAsia"/>
      <w:color w:val="5A5A5A" w:themeColor="text1" w:themeTint="A5"/>
      <w:spacing w:val="15"/>
      <w:kern w:val="2"/>
      <w14:ligatures w14:val="standardContextual"/>
    </w:rPr>
  </w:style>
  <w:style w:type="paragraph" w:styleId="Bibliography">
    <w:name w:val="Bibliography"/>
    <w:basedOn w:val="Normal"/>
    <w:next w:val="Normal"/>
    <w:uiPriority w:val="37"/>
    <w:unhideWhenUsed/>
    <w:rsid w:val="00910C71"/>
  </w:style>
  <w:style w:type="character" w:styleId="Hyperlink">
    <w:name w:val="Hyperlink"/>
    <w:basedOn w:val="DefaultParagraphFont"/>
    <w:uiPriority w:val="99"/>
    <w:unhideWhenUsed/>
    <w:rsid w:val="008C2B65"/>
    <w:rPr>
      <w:color w:val="0563C1" w:themeColor="hyperlink"/>
      <w:u w:val="single"/>
    </w:rPr>
  </w:style>
  <w:style w:type="character" w:styleId="UnresolvedMention">
    <w:name w:val="Unresolved Mention"/>
    <w:basedOn w:val="DefaultParagraphFont"/>
    <w:uiPriority w:val="99"/>
    <w:semiHidden/>
    <w:unhideWhenUsed/>
    <w:rsid w:val="008C2B65"/>
    <w:rPr>
      <w:color w:val="605E5C"/>
      <w:shd w:val="clear" w:color="auto" w:fill="E1DFDD"/>
    </w:rPr>
  </w:style>
  <w:style w:type="character" w:styleId="FollowedHyperlink">
    <w:name w:val="FollowedHyperlink"/>
    <w:basedOn w:val="DefaultParagraphFont"/>
    <w:uiPriority w:val="99"/>
    <w:semiHidden/>
    <w:unhideWhenUsed/>
    <w:rsid w:val="00B44B75"/>
    <w:rPr>
      <w:color w:val="954F72" w:themeColor="followedHyperlink"/>
      <w:u w:val="single"/>
    </w:rPr>
  </w:style>
  <w:style w:type="table" w:styleId="PlainTable3">
    <w:name w:val="Plain Table 3"/>
    <w:basedOn w:val="TableNormal"/>
    <w:uiPriority w:val="99"/>
    <w:rsid w:val="007721AE"/>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83754">
      <w:bodyDiv w:val="1"/>
      <w:marLeft w:val="0"/>
      <w:marRight w:val="0"/>
      <w:marTop w:val="0"/>
      <w:marBottom w:val="0"/>
      <w:divBdr>
        <w:top w:val="none" w:sz="0" w:space="0" w:color="auto"/>
        <w:left w:val="none" w:sz="0" w:space="0" w:color="auto"/>
        <w:bottom w:val="none" w:sz="0" w:space="0" w:color="auto"/>
        <w:right w:val="none" w:sz="0" w:space="0" w:color="auto"/>
      </w:divBdr>
    </w:div>
    <w:div w:id="301470495">
      <w:bodyDiv w:val="1"/>
      <w:marLeft w:val="0"/>
      <w:marRight w:val="0"/>
      <w:marTop w:val="0"/>
      <w:marBottom w:val="0"/>
      <w:divBdr>
        <w:top w:val="none" w:sz="0" w:space="0" w:color="auto"/>
        <w:left w:val="none" w:sz="0" w:space="0" w:color="auto"/>
        <w:bottom w:val="none" w:sz="0" w:space="0" w:color="auto"/>
        <w:right w:val="none" w:sz="0" w:space="0" w:color="auto"/>
      </w:divBdr>
    </w:div>
    <w:div w:id="610361467">
      <w:bodyDiv w:val="1"/>
      <w:marLeft w:val="0"/>
      <w:marRight w:val="0"/>
      <w:marTop w:val="0"/>
      <w:marBottom w:val="0"/>
      <w:divBdr>
        <w:top w:val="none" w:sz="0" w:space="0" w:color="auto"/>
        <w:left w:val="none" w:sz="0" w:space="0" w:color="auto"/>
        <w:bottom w:val="none" w:sz="0" w:space="0" w:color="auto"/>
        <w:right w:val="none" w:sz="0" w:space="0" w:color="auto"/>
      </w:divBdr>
    </w:div>
    <w:div w:id="764110950">
      <w:bodyDiv w:val="1"/>
      <w:marLeft w:val="0"/>
      <w:marRight w:val="0"/>
      <w:marTop w:val="0"/>
      <w:marBottom w:val="0"/>
      <w:divBdr>
        <w:top w:val="none" w:sz="0" w:space="0" w:color="auto"/>
        <w:left w:val="none" w:sz="0" w:space="0" w:color="auto"/>
        <w:bottom w:val="none" w:sz="0" w:space="0" w:color="auto"/>
        <w:right w:val="none" w:sz="0" w:space="0" w:color="auto"/>
      </w:divBdr>
    </w:div>
    <w:div w:id="1023868972">
      <w:bodyDiv w:val="1"/>
      <w:marLeft w:val="0"/>
      <w:marRight w:val="0"/>
      <w:marTop w:val="0"/>
      <w:marBottom w:val="0"/>
      <w:divBdr>
        <w:top w:val="none" w:sz="0" w:space="0" w:color="auto"/>
        <w:left w:val="none" w:sz="0" w:space="0" w:color="auto"/>
        <w:bottom w:val="none" w:sz="0" w:space="0" w:color="auto"/>
        <w:right w:val="none" w:sz="0" w:space="0" w:color="auto"/>
      </w:divBdr>
    </w:div>
    <w:div w:id="1524904720">
      <w:bodyDiv w:val="1"/>
      <w:marLeft w:val="0"/>
      <w:marRight w:val="0"/>
      <w:marTop w:val="0"/>
      <w:marBottom w:val="0"/>
      <w:divBdr>
        <w:top w:val="none" w:sz="0" w:space="0" w:color="auto"/>
        <w:left w:val="none" w:sz="0" w:space="0" w:color="auto"/>
        <w:bottom w:val="none" w:sz="0" w:space="0" w:color="auto"/>
        <w:right w:val="none" w:sz="0" w:space="0" w:color="auto"/>
      </w:divBdr>
    </w:div>
    <w:div w:id="182839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ma.nps.gov/DataStore/Reference/Profile/228983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C775F-BEDC-4520-A77D-2AB5C794C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6506</TotalTime>
  <Pages>31</Pages>
  <Words>12244</Words>
  <Characters>69794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Lagoni, Nicholas</dc:creator>
  <cp:keywords/>
  <dc:description/>
  <cp:lastModifiedBy>Nick Lagoni</cp:lastModifiedBy>
  <cp:revision>26</cp:revision>
  <dcterms:created xsi:type="dcterms:W3CDTF">2025-06-05T13:20:00Z</dcterms:created>
  <dcterms:modified xsi:type="dcterms:W3CDTF">2025-08-26T04:21:00Z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id="549eWRkJ"/&gt;&lt;style id="http://www.zotero.org/styles/ecology" hasBibliography="1" bibliographyStyleHasBeenSet="1"/&gt;&lt;prefs&gt;&lt;pref name="fieldType" value="Field"/&gt;&lt;/prefs&gt;&lt;/data&gt;</vt:lpwstr>
  </property>
</Properties>
</file>