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99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5103"/>
        <w:gridCol w:w="2410"/>
      </w:tblGrid>
      <w:tr w:rsidR="00EC52AE" w:rsidRPr="00986892" w:rsidTr="00D516B3">
        <w:trPr>
          <w:jc w:val="center"/>
        </w:trPr>
        <w:tc>
          <w:tcPr>
            <w:tcW w:w="3686" w:type="dxa"/>
            <w:gridSpan w:val="2"/>
            <w:tcBorders>
              <w:top w:val="nil"/>
              <w:left w:val="nil"/>
            </w:tcBorders>
          </w:tcPr>
          <w:p w:rsidR="00EC52AE" w:rsidRPr="004B2C78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44"/>
                <w:szCs w:val="44"/>
              </w:rPr>
            </w:pPr>
            <w:r w:rsidRPr="004B2C78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986892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986892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Minion Pro"/>
                <w:color w:val="000000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地址：北京交通大学21 号公寓1002–2，100044</w:t>
            </w:r>
            <w:r w:rsidR="00DC52CD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EC52AE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hyperlink r:id="rId8" w:history="1">
              <w:r w:rsidR="009F0E4B" w:rsidRPr="00986892">
                <w:rPr>
                  <w:rStyle w:val="a4"/>
                  <w:rFonts w:ascii="方正兰亭细黑_GBK" w:eastAsia="方正兰亭细黑_GBK" w:hAnsi="AvenirNext LT Pro Regular" w:cs="WilliamsCaslonText Regular" w:hint="eastAsia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bottom w:val="nil"/>
              <w:right w:val="nil"/>
            </w:tcBorders>
          </w:tcPr>
          <w:p w:rsidR="00EC52AE" w:rsidRPr="00986892" w:rsidRDefault="00EC52AE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D516B3">
        <w:trPr>
          <w:jc w:val="center"/>
        </w:trPr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552" w:type="dxa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燕山大学外国语学院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2003年9月至2007年6月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本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专业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提供将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英语语言技能和商务知识相结合的多学科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平台。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主要课程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包括工商导论，经济学，国际金融，市场营销。</w:t>
            </w:r>
          </w:p>
        </w:tc>
        <w:tc>
          <w:tcPr>
            <w:tcW w:w="2410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D30684" w:rsidRPr="00066A18" w:rsidRDefault="00D30684" w:rsidP="00066A18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语言技能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="00233B63"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英语</w:t>
            </w:r>
            <w:r w:rsidR="00066A18"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专业四级</w:t>
            </w:r>
            <w:r w:rsidR="00066A18"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  <w:t>法语</w:t>
            </w:r>
            <w:r w:rsidR="00066A18"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B1级水平</w:t>
            </w:r>
            <w:r w:rsidR="00066A18"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</w:r>
            <w:r w:rsidR="00066A18"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德语A2级水平</w:t>
            </w:r>
          </w:p>
          <w:p w:rsidR="00D30684" w:rsidRPr="00986892" w:rsidRDefault="00D30684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</w:p>
          <w:p w:rsidR="00BC4444" w:rsidRDefault="00D30684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计算机技能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="00066A18"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精通各种办公软件</w:t>
            </w:r>
            <w:r w:rsidR="00066A18"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="00066A18"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熟练使用</w:t>
            </w:r>
            <w:r w:rsidR="00233B63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Photoshop处理</w:t>
            </w:r>
            <w:r w:rsidR="00066A18">
              <w:rPr>
                <w:rFonts w:ascii="方正兰亭细黑_GBK" w:eastAsia="方正兰亭细黑_GBK" w:hAnsi="AvenirNext LT Pro Regular"/>
                <w:sz w:val="18"/>
                <w:szCs w:val="18"/>
              </w:rPr>
              <w:t>图片</w:t>
            </w:r>
          </w:p>
          <w:p w:rsidR="00BC4444" w:rsidRDefault="00BC4444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BC4444" w:rsidRPr="00986892" w:rsidRDefault="00BC4444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BC4444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获得证书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ab/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英语专业四级</w:t>
            </w:r>
            <w:r w:rsidR="00066A18"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汉语普通话二级甲</w:t>
            </w:r>
            <w:r w:rsidR="00066A18"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计算机全国计算机等级考试三级网络技术</w:t>
            </w:r>
          </w:p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D30684" w:rsidTr="00D516B3">
        <w:trPr>
          <w:trHeight w:val="100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 &amp; 律师助理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澳大利亚唐林律师事务所北京代表处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2011年5月至2012年11月</w:t>
            </w:r>
          </w:p>
        </w:tc>
        <w:tc>
          <w:tcPr>
            <w:tcW w:w="5103" w:type="dxa"/>
          </w:tcPr>
          <w:p w:rsidR="00936F09" w:rsidRPr="006E4545" w:rsidRDefault="00D30684" w:rsidP="00D516B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行政经理：</w:t>
            </w:r>
            <w:r w:rsidR="00335ADC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制度</w:t>
            </w:r>
            <w:r w:rsidR="00D516B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制定行政管理规章制度及督促、检查制度的贯彻执行。</w:t>
            </w:r>
            <w:r w:rsidR="00D516B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D516B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活动</w:t>
            </w:r>
            <w:r w:rsidR="00D516B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组织</w:t>
            </w:r>
            <w:r w:rsid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协调</w:t>
            </w:r>
            <w:r w:rsidR="006E4545"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员工活动、市场类活动</w:t>
            </w:r>
            <w:r w:rsid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做好来客接待工作。</w:t>
            </w:r>
            <w:r w:rsidR="006E4545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6E4545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重要</w:t>
            </w:r>
            <w:r w:rsidR="006E4545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文件：</w:t>
            </w:r>
            <w:r w:rsidR="006E4545"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办理公司所需各项证照；起草及归档公司相关文件；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搜集、整理公司内部信息</w:t>
            </w:r>
            <w:r w:rsidR="006E4545"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管理公司重要资质证件。</w:t>
            </w:r>
            <w:r w:rsidR="006E4545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D516B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92B66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软件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安装及故障排查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7E3A05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办公设备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日常</w:t>
            </w:r>
            <w:r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D57A5B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电话</w:t>
            </w:r>
            <w:r w:rsidR="007E3A05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系统、网络系统维护；网站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信息</w:t>
            </w:r>
            <w:r w:rsidR="007E3A05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更新</w:t>
            </w:r>
            <w:r w:rsidR="00D57A5B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。</w:t>
            </w:r>
            <w:r w:rsidR="008E4D03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="00092B6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办公用品采购，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与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快递公司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洽谈</w:t>
            </w:r>
            <w:r w:rsidR="00197159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服务和价格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6E4545" w:rsidRPr="006E454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对控制成本的方法提出建议。</w:t>
            </w:r>
            <w:r w:rsidR="008E4D03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92B66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财务</w:t>
            </w:r>
            <w:r w:rsidR="00092B66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公章</w:t>
            </w:r>
            <w:r w:rsidR="007B020E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7E3A05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支票</w:t>
            </w:r>
            <w:r w:rsidR="007B020E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、现金</w:t>
            </w:r>
            <w:r w:rsidR="007E3A05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管理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7E3A05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确认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每笔</w:t>
            </w:r>
            <w:r w:rsidR="007E3A05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支出</w:t>
            </w:r>
            <w:r w:rsidR="007E3A05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并</w:t>
            </w:r>
            <w:r w:rsidR="007B020E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安排支付</w:t>
            </w:r>
            <w:r w:rsidR="007B020E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8E4D03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7B020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7E3A05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人事助理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员工入职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安排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管理处</w:t>
            </w:r>
            <w:r w:rsidR="00197159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登记、更新信息、</w:t>
            </w:r>
            <w:r w:rsidR="00A30DDE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饭卡</w:t>
            </w:r>
            <w:r w:rsidR="00A30DDE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办理</w:t>
            </w:r>
            <w:r w:rsidR="009C78F0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、刊登招聘</w:t>
            </w:r>
            <w:r w:rsidR="009C78F0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信息</w:t>
            </w:r>
            <w:r w:rsidR="009C78F0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、办理</w:t>
            </w:r>
            <w:r w:rsidR="009C78F0" w:rsidRPr="00832D42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t>税收年审</w:t>
            </w:r>
            <w:r w:rsidR="00197159" w:rsidRPr="00832D42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335ADC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做事细心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，认真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的好习惯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。</w:t>
            </w:r>
          </w:p>
        </w:tc>
        <w:tc>
          <w:tcPr>
            <w:tcW w:w="2410" w:type="dxa"/>
            <w:vMerge/>
            <w:tcBorders>
              <w:right w:val="nil"/>
            </w:tcBorders>
            <w:shd w:val="clear" w:color="auto" w:fill="auto"/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D516B3">
        <w:trPr>
          <w:trHeight w:val="1008"/>
          <w:jc w:val="center"/>
        </w:trPr>
        <w:tc>
          <w:tcPr>
            <w:tcW w:w="1134" w:type="dxa"/>
            <w:vMerge/>
            <w:tcBorders>
              <w:left w:val="nil"/>
              <w:bottom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936F09" w:rsidRPr="00D30684" w:rsidRDefault="00D30684" w:rsidP="006A468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  <w:r w:rsidR="00335ADC"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客户</w:t>
            </w:r>
            <w:r w:rsid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="006A468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和客户</w:t>
            </w:r>
            <w:r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沟通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，起草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服务合同，</w:t>
            </w:r>
            <w:r w:rsidR="00D516B3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答疑并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解释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各项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文件的法律依据及要求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6A4680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帮助客户准备英文材料</w:t>
            </w:r>
            <w:r w:rsidR="006A468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并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递交申请，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代客户</w:t>
            </w:r>
            <w:r w:rsidR="006A4680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和澳大利亚驻中国大使馆、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移民局、澳</w:t>
            </w:r>
            <w:bookmarkStart w:id="0" w:name="_GoBack"/>
            <w:bookmarkEnd w:id="0"/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大利亚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相关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政府部门沟通。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澳大利亚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总部</w:t>
            </w:r>
            <w:r w:rsid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为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悉尼的律师准备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相关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文件，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查找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客户档案。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澳大利亚新出台的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政策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做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初步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研究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协助律师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解读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各项政策。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中方</w:t>
            </w:r>
            <w:r w:rsid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政府机构</w:t>
            </w:r>
            <w:r w:rsid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="007B020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律师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事务所</w:t>
            </w:r>
            <w:r w:rsidR="00D57A5B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司法局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年检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、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外籍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首席代表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律师</w:t>
            </w:r>
            <w:r w:rsidR="007B020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的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中国</w:t>
            </w:r>
            <w:r w:rsidR="007B020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签证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0C354D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465D16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规范</w:t>
            </w:r>
            <w:r w:rsidR="00465D16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档案</w:t>
            </w:r>
            <w:r w:rsidR="009C78F0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操作</w:t>
            </w:r>
            <w:r w:rsidR="007B020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流程</w:t>
            </w:r>
            <w:r w:rsidR="007B020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7B020E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制作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客户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档案归档索引</w:t>
            </w:r>
            <w:r w:rsidR="007B020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7B020E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定期备份</w:t>
            </w:r>
            <w:r w:rsidR="00197159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电子数据</w:t>
            </w:r>
            <w:r w:rsidR="007B020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44007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要求</w:t>
            </w:r>
            <w:r w:rsidR="00A44007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所有律师严格遵守档案的管理制度。</w:t>
            </w:r>
            <w:r w:rsidR="008E4D03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C2755E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sym w:font="Wingdings" w:char="F0A7"/>
            </w:r>
            <w:r w:rsidR="00C2755E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  <w:r w:rsidR="00A44007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第三方</w:t>
            </w:r>
            <w:r w:rsidR="000C354D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：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商务公司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的</w:t>
            </w:r>
            <w:r w:rsidR="00EB0933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委托办理</w:t>
            </w:r>
            <w:r w:rsidR="00197159" w:rsidRPr="00832D42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国际公证</w:t>
            </w:r>
            <w:r w:rsidR="00EB0933" w:rsidRPr="00832D42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；</w:t>
            </w:r>
            <w:r w:rsidR="00A44007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协助公司首席律师收集整理材料，</w:t>
            </w:r>
            <w:r w:rsidR="00A44007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第一时间做出政策解读并发表在滴答网上</w:t>
            </w:r>
            <w:r w:rsidR="00A44007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。联系具有</w:t>
            </w:r>
            <w:r w:rsidR="00A44007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澳大利亚</w:t>
            </w:r>
            <w:r w:rsidR="00A44007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政府认可的</w:t>
            </w:r>
            <w:r w:rsidR="00A44007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翻译</w:t>
            </w:r>
            <w:r w:rsidR="00A44007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人员</w:t>
            </w:r>
            <w:r w:rsidR="00A44007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翻译重要文件。</w:t>
            </w:r>
            <w:r w:rsidR="00335ADC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br/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做事严密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表达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精确，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高压力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下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保证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</w:t>
            </w:r>
            <w:r w:rsidR="00936F09"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效率</w:t>
            </w:r>
            <w:r w:rsidR="00936F09"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的好习惯。</w:t>
            </w:r>
          </w:p>
        </w:tc>
        <w:tc>
          <w:tcPr>
            <w:tcW w:w="2410" w:type="dxa"/>
            <w:vMerge/>
            <w:tcBorders>
              <w:right w:val="nil"/>
            </w:tcBorders>
            <w:shd w:val="clear" w:color="auto" w:fill="auto"/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D516B3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商法、合同法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2010年3月至2011年4月</w:t>
            </w:r>
          </w:p>
        </w:tc>
        <w:tc>
          <w:tcPr>
            <w:tcW w:w="5103" w:type="dxa"/>
          </w:tcPr>
          <w:p w:rsidR="00D30684" w:rsidRPr="00986892" w:rsidRDefault="00D30684" w:rsidP="000320B5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 xml:space="preserve">参照Test of Legal </w:t>
            </w:r>
            <w:r w:rsidR="00936F09"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English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 xml:space="preserve"> Skills原版教材18本，学习法律英语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：除了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学习相关法律外，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培养分析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问题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的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能力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，铸造较强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的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英文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写作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功底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。</w:t>
            </w:r>
          </w:p>
        </w:tc>
        <w:tc>
          <w:tcPr>
            <w:tcW w:w="2410" w:type="dxa"/>
            <w:vMerge/>
            <w:tcBorders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0320B5" w:rsidTr="00D516B3">
        <w:trPr>
          <w:trHeight w:val="672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外贸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年8月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至</w:t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2009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年4月</w:t>
            </w:r>
          </w:p>
        </w:tc>
        <w:tc>
          <w:tcPr>
            <w:tcW w:w="5103" w:type="dxa"/>
          </w:tcPr>
          <w:p w:rsidR="00D30684" w:rsidRPr="00986892" w:rsidRDefault="00237442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建立，维护客户关系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与客户沟通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发货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时间、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港口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运费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保险等订货的各种细节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敲定运输及</w:t>
            </w:r>
            <w:r w:rsidR="000320B5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结算</w:t>
            </w:r>
            <w:r w:rsidR="000320B5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方式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D30684"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各国订单稳定增加。</w:t>
            </w:r>
          </w:p>
        </w:tc>
        <w:tc>
          <w:tcPr>
            <w:tcW w:w="2410" w:type="dxa"/>
            <w:vMerge/>
            <w:tcBorders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0320B5" w:rsidTr="00D516B3">
        <w:trPr>
          <w:trHeight w:val="672"/>
          <w:jc w:val="center"/>
        </w:trPr>
        <w:tc>
          <w:tcPr>
            <w:tcW w:w="1134" w:type="dxa"/>
            <w:vMerge/>
            <w:tcBorders>
              <w:left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D30684" w:rsidRPr="00986892" w:rsidRDefault="000320B5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起草，制作英文销售合同；处理信用证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、提单、产地证、</w:t>
            </w:r>
            <w:r w:rsidR="00A44007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保险单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等</w:t>
            </w:r>
            <w:r w:rsidR="00D30684"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单据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信息</w:t>
            </w:r>
            <w:r w:rsidR="00A44007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；</w:t>
            </w:r>
            <w:r w:rsidR="00A44007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与航运公司</w:t>
            </w:r>
            <w:r w:rsidR="00A44007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确认海运提单</w:t>
            </w:r>
            <w:r w:rsidR="0023744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D30684"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每次单据无差错。</w:t>
            </w:r>
          </w:p>
        </w:tc>
        <w:tc>
          <w:tcPr>
            <w:tcW w:w="2410" w:type="dxa"/>
            <w:vMerge/>
            <w:tcBorders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D30684" w:rsidRPr="00986892" w:rsidTr="00D516B3">
        <w:trPr>
          <w:trHeight w:val="672"/>
          <w:jc w:val="center"/>
        </w:trPr>
        <w:tc>
          <w:tcPr>
            <w:tcW w:w="1134" w:type="dxa"/>
            <w:vMerge/>
            <w:tcBorders>
              <w:left w:val="nil"/>
              <w:bottom w:val="nil"/>
            </w:tcBorders>
          </w:tcPr>
          <w:p w:rsidR="00D30684" w:rsidRPr="00986892" w:rsidRDefault="00D30684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D30684" w:rsidRPr="00986892" w:rsidRDefault="00D30684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和外汇管理局等政府部门打交道，并与公司内部同事协调供货</w:t>
            </w:r>
            <w:r w:rsidR="0023744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410" w:type="dxa"/>
            <w:vMerge/>
            <w:tcBorders>
              <w:bottom w:val="nil"/>
              <w:right w:val="nil"/>
            </w:tcBorders>
          </w:tcPr>
          <w:p w:rsidR="00D30684" w:rsidRPr="00986892" w:rsidRDefault="00D30684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048FF" w:rsidRPr="00986892" w:rsidTr="00D516B3">
        <w:trPr>
          <w:trHeight w:val="582"/>
          <w:jc w:val="center"/>
        </w:trPr>
        <w:tc>
          <w:tcPr>
            <w:tcW w:w="1134" w:type="dxa"/>
            <w:tcBorders>
              <w:top w:val="nil"/>
              <w:left w:val="nil"/>
            </w:tcBorders>
          </w:tcPr>
          <w:p w:rsidR="008048FF" w:rsidRPr="00986892" w:rsidRDefault="008048FF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8048FF" w:rsidRPr="00986892" w:rsidRDefault="008048FF" w:rsidP="003754D6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100" w:right="210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签证服务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专员</w:t>
            </w:r>
            <w:r w:rsidR="003754D6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瑟盾（北京）翻译有限公司</w:t>
            </w:r>
            <w:r w:rsidR="003754D6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年5月至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年6月</w:t>
            </w:r>
          </w:p>
        </w:tc>
        <w:tc>
          <w:tcPr>
            <w:tcW w:w="5103" w:type="dxa"/>
          </w:tcPr>
          <w:p w:rsidR="008048FF" w:rsidRPr="00986892" w:rsidRDefault="00FC6EDD" w:rsidP="006E4545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制作各种签证用的材料模板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大大提高了同事们的工作效率。</w:t>
            </w:r>
            <w:r w:rsidR="006E4545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代客户起草</w:t>
            </w:r>
            <w:r w:rsidR="006E4545"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各种</w:t>
            </w:r>
            <w:r w:rsidR="006E4545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交给</w:t>
            </w:r>
            <w:r w:rsidR="006E4545"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使馆的</w:t>
            </w:r>
            <w:r w:rsidR="006E4545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文件：客户</w:t>
            </w:r>
            <w:r w:rsidR="006E4545"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满意。</w:t>
            </w:r>
            <w:r w:rsidR="006E4545"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="008048FF"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将各种材料翻译成英语</w:t>
            </w:r>
            <w:r w:rsidR="008048FF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：</w:t>
            </w:r>
            <w:r w:rsidR="008048FF"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提高了公司的签证通过率。</w:t>
            </w:r>
          </w:p>
        </w:tc>
        <w:tc>
          <w:tcPr>
            <w:tcW w:w="2410" w:type="dxa"/>
            <w:tcBorders>
              <w:top w:val="nil"/>
              <w:right w:val="nil"/>
            </w:tcBorders>
          </w:tcPr>
          <w:p w:rsidR="008048FF" w:rsidRPr="006E4545" w:rsidRDefault="008048FF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</w:tbl>
    <w:p w:rsidR="0067604E" w:rsidRPr="00986892" w:rsidRDefault="0067604E" w:rsidP="00DE600B">
      <w:pPr>
        <w:spacing w:beforeLines="50" w:before="156" w:afterLines="50" w:after="156" w:line="240" w:lineRule="exact"/>
        <w:jc w:val="left"/>
        <w:rPr>
          <w:rFonts w:ascii="方正兰亭细黑_GBK" w:eastAsia="方正兰亭细黑_GBK" w:hAnsi="AvenirNext LT Pro Regular"/>
          <w:sz w:val="18"/>
          <w:szCs w:val="18"/>
        </w:rPr>
      </w:pPr>
    </w:p>
    <w:sectPr w:rsidR="0067604E" w:rsidRPr="00986892" w:rsidSect="00844858">
      <w:pgSz w:w="11906" w:h="16838"/>
      <w:pgMar w:top="1021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AB6" w:rsidRDefault="00F15AB6" w:rsidP="00231ED3">
      <w:r>
        <w:separator/>
      </w:r>
    </w:p>
  </w:endnote>
  <w:endnote w:type="continuationSeparator" w:id="0">
    <w:p w:rsidR="00F15AB6" w:rsidRDefault="00F15AB6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方正兰亭细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AB6" w:rsidRDefault="00F15AB6" w:rsidP="00231ED3">
      <w:r>
        <w:separator/>
      </w:r>
    </w:p>
  </w:footnote>
  <w:footnote w:type="continuationSeparator" w:id="0">
    <w:p w:rsidR="00F15AB6" w:rsidRDefault="00F15AB6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1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5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20B5"/>
    <w:rsid w:val="00066A18"/>
    <w:rsid w:val="00092B66"/>
    <w:rsid w:val="000C354D"/>
    <w:rsid w:val="0011342A"/>
    <w:rsid w:val="00131023"/>
    <w:rsid w:val="00136B15"/>
    <w:rsid w:val="0018345A"/>
    <w:rsid w:val="0018353F"/>
    <w:rsid w:val="00197159"/>
    <w:rsid w:val="001B1ED0"/>
    <w:rsid w:val="001F09E3"/>
    <w:rsid w:val="00231ED3"/>
    <w:rsid w:val="00233B63"/>
    <w:rsid w:val="00237442"/>
    <w:rsid w:val="00272F45"/>
    <w:rsid w:val="002B4D41"/>
    <w:rsid w:val="00335ADC"/>
    <w:rsid w:val="00364F44"/>
    <w:rsid w:val="003754D6"/>
    <w:rsid w:val="00375C71"/>
    <w:rsid w:val="003C74EA"/>
    <w:rsid w:val="00465D16"/>
    <w:rsid w:val="004B2C78"/>
    <w:rsid w:val="004E54DC"/>
    <w:rsid w:val="00501298"/>
    <w:rsid w:val="005714A7"/>
    <w:rsid w:val="00590D16"/>
    <w:rsid w:val="005C3219"/>
    <w:rsid w:val="00640336"/>
    <w:rsid w:val="0064467E"/>
    <w:rsid w:val="00666792"/>
    <w:rsid w:val="0067604E"/>
    <w:rsid w:val="006A4680"/>
    <w:rsid w:val="006C3F50"/>
    <w:rsid w:val="006E4545"/>
    <w:rsid w:val="0070267E"/>
    <w:rsid w:val="007B020E"/>
    <w:rsid w:val="007E2A4D"/>
    <w:rsid w:val="007E3A05"/>
    <w:rsid w:val="008048FF"/>
    <w:rsid w:val="00815BF5"/>
    <w:rsid w:val="00832D42"/>
    <w:rsid w:val="00844858"/>
    <w:rsid w:val="008C13BB"/>
    <w:rsid w:val="008E4D03"/>
    <w:rsid w:val="00921019"/>
    <w:rsid w:val="00936F09"/>
    <w:rsid w:val="00986892"/>
    <w:rsid w:val="00994890"/>
    <w:rsid w:val="009C78F0"/>
    <w:rsid w:val="009E0154"/>
    <w:rsid w:val="009F0E4B"/>
    <w:rsid w:val="00A23317"/>
    <w:rsid w:val="00A30DDE"/>
    <w:rsid w:val="00A44007"/>
    <w:rsid w:val="00A54FFE"/>
    <w:rsid w:val="00A71A57"/>
    <w:rsid w:val="00AE0BC2"/>
    <w:rsid w:val="00B16132"/>
    <w:rsid w:val="00B65668"/>
    <w:rsid w:val="00BB3798"/>
    <w:rsid w:val="00BC4444"/>
    <w:rsid w:val="00BC5020"/>
    <w:rsid w:val="00BC5846"/>
    <w:rsid w:val="00C2755E"/>
    <w:rsid w:val="00C506C2"/>
    <w:rsid w:val="00C600F0"/>
    <w:rsid w:val="00C61422"/>
    <w:rsid w:val="00C93D98"/>
    <w:rsid w:val="00CA2A2D"/>
    <w:rsid w:val="00CC0694"/>
    <w:rsid w:val="00D05BE4"/>
    <w:rsid w:val="00D20427"/>
    <w:rsid w:val="00D27955"/>
    <w:rsid w:val="00D30684"/>
    <w:rsid w:val="00D516B3"/>
    <w:rsid w:val="00D57A5B"/>
    <w:rsid w:val="00D624BF"/>
    <w:rsid w:val="00DC4EF1"/>
    <w:rsid w:val="00DC52CD"/>
    <w:rsid w:val="00DE600B"/>
    <w:rsid w:val="00E8280A"/>
    <w:rsid w:val="00E94BCD"/>
    <w:rsid w:val="00EB0933"/>
    <w:rsid w:val="00EC3C60"/>
    <w:rsid w:val="00EC52AE"/>
    <w:rsid w:val="00EE3B58"/>
    <w:rsid w:val="00F050DB"/>
    <w:rsid w:val="00F15AB6"/>
    <w:rsid w:val="00F75CD4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fox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B2B68-29E9-4B38-BDAC-D82DE118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4</cp:revision>
  <dcterms:created xsi:type="dcterms:W3CDTF">2014-03-12T02:28:00Z</dcterms:created>
  <dcterms:modified xsi:type="dcterms:W3CDTF">2014-03-12T03:31:00Z</dcterms:modified>
</cp:coreProperties>
</file>