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5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2"/>
        <w:gridCol w:w="5103"/>
        <w:gridCol w:w="2126"/>
      </w:tblGrid>
      <w:tr w:rsidR="00EC52AE" w:rsidRPr="00986892" w:rsidTr="008D4AF3">
        <w:trPr>
          <w:jc w:val="center"/>
        </w:trPr>
        <w:tc>
          <w:tcPr>
            <w:tcW w:w="3686" w:type="dxa"/>
            <w:gridSpan w:val="2"/>
            <w:tcBorders>
              <w:top w:val="nil"/>
              <w:left w:val="nil"/>
            </w:tcBorders>
          </w:tcPr>
          <w:p w:rsidR="00EC52AE" w:rsidRPr="004B2C78" w:rsidRDefault="001F09E3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bCs/>
                <w:color w:val="211E1E"/>
                <w:sz w:val="44"/>
                <w:szCs w:val="44"/>
              </w:rPr>
            </w:pPr>
            <w:r w:rsidRPr="004B2C78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44"/>
                <w:szCs w:val="44"/>
              </w:rPr>
              <w:t>李明清</w:t>
            </w:r>
          </w:p>
          <w:p w:rsidR="00EC52AE" w:rsidRPr="00986892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:rsidR="009F0E4B" w:rsidRPr="00986892" w:rsidRDefault="001F09E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Minion Pro"/>
                <w:color w:val="000000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地址：北京交通大学</w:t>
            </w:r>
            <w:r w:rsidR="004E3D3F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21</w:t>
            </w:r>
            <w:r w:rsidRPr="00986892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号公寓1002–2，100044</w:t>
            </w:r>
            <w:r w:rsidR="00DC52CD"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电话</w:t>
            </w:r>
            <w:r w:rsidR="00D516B3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="00EC52AE"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邮箱</w:t>
            </w:r>
            <w:r w:rsidR="00D516B3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hyperlink r:id="rId8" w:history="1">
              <w:r w:rsidR="009F0E4B" w:rsidRPr="00986892">
                <w:rPr>
                  <w:rStyle w:val="a4"/>
                  <w:rFonts w:ascii="方正兰亭细黑_GBK" w:eastAsia="方正兰亭细黑_GBK" w:hAnsi="AvenirNext LT Pro Regular" w:cs="WilliamsCaslonText Regular" w:hint="eastAsia"/>
                  <w:color w:val="auto"/>
                  <w:kern w:val="0"/>
                  <w:sz w:val="18"/>
                  <w:szCs w:val="18"/>
                  <w:u w:val="none"/>
                </w:rPr>
                <w:t>nickleeh@foxmail.com</w:t>
              </w:r>
            </w:hyperlink>
          </w:p>
          <w:p w:rsidR="007E2A4D" w:rsidRPr="00986892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7E2A4D" w:rsidRPr="00986892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EC52AE" w:rsidRPr="00986892" w:rsidRDefault="00EC52AE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A8687B">
        <w:trPr>
          <w:jc w:val="center"/>
        </w:trPr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18"/>
                <w:szCs w:val="18"/>
              </w:rPr>
              <w:t>教育背景</w:t>
            </w:r>
          </w:p>
        </w:tc>
        <w:tc>
          <w:tcPr>
            <w:tcW w:w="2552" w:type="dxa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Minion Pro"/>
                <w:color w:val="211E1E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英语专业（本科）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燕山大学外国语学院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2003年9月至2007年6月</w:t>
            </w:r>
            <w:r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</w:tcPr>
          <w:p w:rsidR="008D4AF3" w:rsidRPr="00986892" w:rsidRDefault="008D4AF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本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专业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提供将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英语语言技能和商务知识相结合的多学科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学习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平台。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主要课程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包括工商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管理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，经济学，国际金融，市场营销。</w:t>
            </w:r>
          </w:p>
        </w:tc>
        <w:tc>
          <w:tcPr>
            <w:tcW w:w="2126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8D4AF3" w:rsidRPr="00066A18" w:rsidRDefault="008D4AF3" w:rsidP="00066A18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语言技能</w:t>
            </w: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英语专业四级</w:t>
            </w:r>
            <w:r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  <w:br/>
              <w:t>法语</w:t>
            </w:r>
            <w:r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B1级水平</w:t>
            </w:r>
            <w:r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德语A2级水平</w:t>
            </w:r>
          </w:p>
          <w:p w:rsidR="008D4AF3" w:rsidRPr="00986892" w:rsidRDefault="008D4AF3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</w:p>
          <w:p w:rsidR="008D4AF3" w:rsidRDefault="008D4AF3" w:rsidP="00066A18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计算机技能</w:t>
            </w: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br/>
            </w:r>
            <w:r w:rsidRPr="00066A18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精通各种办公软件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066A18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熟练使用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Photoshop处理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t>图片</w:t>
            </w:r>
          </w:p>
          <w:p w:rsidR="008D4AF3" w:rsidRDefault="008D4AF3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8D4AF3" w:rsidRPr="00986892" w:rsidRDefault="008D4AF3" w:rsidP="00066A18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BC4444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获得证书</w:t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ab/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英语专业四级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汉语普通话二级甲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</w:p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D30684" w:rsidTr="00A8687B">
        <w:trPr>
          <w:trHeight w:val="1008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18"/>
                <w:szCs w:val="18"/>
              </w:rPr>
              <w:t>工作经历</w:t>
            </w: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行政经理 &amp; 律师助理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澳大利亚唐林律师事务所北京代表处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2011年5月至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2013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5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月</w:t>
            </w:r>
          </w:p>
        </w:tc>
        <w:tc>
          <w:tcPr>
            <w:tcW w:w="5103" w:type="dxa"/>
          </w:tcPr>
          <w:p w:rsidR="008D4AF3" w:rsidRPr="006E4545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行政经理：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制度</w:t>
            </w:r>
            <w:r w:rsidRPr="00A171AE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制定行政管理规章制度及督促、检查制度的贯彻执行。</w:t>
            </w:r>
            <w:r w:rsidRP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办理公司所需各项证照；起草及归档公司相关文件；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搜集、整理公司内部信息</w:t>
            </w:r>
            <w:r w:rsidRP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；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管理公司重要资质证件。</w:t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维护：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办公</w:t>
            </w:r>
            <w:r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软件</w:t>
            </w:r>
            <w:r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安装及故障排查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；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办公设备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日常</w:t>
            </w:r>
            <w:r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维护；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电话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系统、网络系统维护；网站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信息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更新</w:t>
            </w:r>
            <w:r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宣传</w:t>
            </w:r>
            <w:r w:rsidRPr="00A171AE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公司媒体推介</w:t>
            </w:r>
            <w:r w:rsidRP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、市场类活动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采购</w:t>
            </w:r>
            <w:r w:rsidRPr="00A171AE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办公用品采购，</w:t>
            </w:r>
            <w:r w:rsidRP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对控制成本的方法提出建议。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财务</w:t>
            </w:r>
            <w:r w:rsidRPr="00A171AE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支票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、日常现金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管理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；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确认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每笔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支出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并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安排支付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人事</w:t>
            </w:r>
            <w:r w:rsidRPr="00A171AE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维护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员工档案、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员工招聘</w:t>
            </w:r>
            <w:r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、办理</w:t>
            </w:r>
            <w:r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税收年审</w:t>
            </w:r>
            <w:r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这项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使我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养成了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做事细心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，认真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的好习惯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。</w:t>
            </w:r>
          </w:p>
        </w:tc>
        <w:tc>
          <w:tcPr>
            <w:tcW w:w="2126" w:type="dxa"/>
            <w:vMerge/>
            <w:tcBorders>
              <w:right w:val="nil"/>
            </w:tcBorders>
            <w:shd w:val="clear" w:color="auto" w:fill="auto"/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A8687B">
        <w:trPr>
          <w:trHeight w:val="1008"/>
          <w:jc w:val="center"/>
        </w:trPr>
        <w:tc>
          <w:tcPr>
            <w:tcW w:w="1134" w:type="dxa"/>
            <w:vMerge/>
            <w:tcBorders>
              <w:left w:val="nil"/>
              <w:bottom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986892" w:rsidRDefault="008D4AF3" w:rsidP="00AC2EBA">
            <w:pPr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Pr="00D30684" w:rsidRDefault="008D4AF3" w:rsidP="00A171AE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律师助理：</w:t>
            </w:r>
            <w:r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客户：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和客户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沟通，起草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服务合同，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答疑并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解释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各项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文件的法律依据及要求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，帮助客户准备英文材料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并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递交申请，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代客户</w:t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和澳大利亚驻中国大使馆、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移民局、澳大利亚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相关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政府部门沟通。</w:t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澳大利亚</w:t>
            </w:r>
            <w:r w:rsidRPr="00A171AE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总部</w:t>
            </w:r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为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悉尼的律师准备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相关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文件，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查找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客户档案。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对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澳大利亚新出台的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政策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做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初步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研究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协助律师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解读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各项政策。</w:t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中方</w:t>
            </w:r>
            <w:r w:rsidRPr="00A171AE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政府机构</w:t>
            </w:r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办理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律师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事务所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司法局年检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、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外籍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首席代表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律师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的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中国</w:t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签证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档案</w:t>
            </w:r>
            <w:r w:rsidRPr="00A171AE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规范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档案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操作</w:t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流程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制作客户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档案归档索引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定期备份电子数据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。要求</w:t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所有律师严格遵守档案的管理制度。</w:t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bookmarkStart w:id="0" w:name="_GoBack"/>
            <w:r w:rsidRPr="00A171AE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第三方</w:t>
            </w:r>
            <w:r w:rsidRPr="00A171AE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bookmarkEnd w:id="0"/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接受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商务公司</w:t>
            </w:r>
            <w:r w:rsidR="00A171AE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办理国际公证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的</w:t>
            </w:r>
            <w:r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委托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；</w:t>
            </w:r>
            <w:r w:rsidR="00A171A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协助</w:t>
            </w:r>
            <w:r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首席律师收集整理材料，</w:t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第一时间做出政策解读并发表在滴答网上</w:t>
            </w:r>
            <w:r w:rsidR="00A171A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；审阅各种</w:t>
            </w:r>
            <w:r w:rsidR="00A171A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英文翻译的质量。</w:t>
            </w:r>
            <w:r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这项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使我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养成了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做事严密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表达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精确，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高压力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下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保证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效率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的好习惯。</w:t>
            </w:r>
          </w:p>
        </w:tc>
        <w:tc>
          <w:tcPr>
            <w:tcW w:w="2126" w:type="dxa"/>
            <w:vMerge/>
            <w:tcBorders>
              <w:right w:val="nil"/>
            </w:tcBorders>
            <w:shd w:val="clear" w:color="auto" w:fill="auto"/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A8687B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学习法律英语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商法、合同法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2010年3月至2011年4月</w:t>
            </w: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参照</w:t>
            </w:r>
            <w:r w:rsidRPr="00C06F35">
              <w:rPr>
                <w:rFonts w:ascii="AvenirNext LT Pro Regular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Test of Legal English Skills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原版教材18本，学习法律英语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培养分析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问题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的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能力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，铸造较强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的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英文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写作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功底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。</w:t>
            </w:r>
          </w:p>
        </w:tc>
        <w:tc>
          <w:tcPr>
            <w:tcW w:w="2126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0320B5" w:rsidTr="00A8687B">
        <w:trPr>
          <w:trHeight w:val="672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iCs/>
                <w:color w:val="211E1E"/>
                <w:kern w:val="0"/>
                <w:sz w:val="18"/>
                <w:szCs w:val="18"/>
              </w:rPr>
              <w:t>外贸</w:t>
            </w:r>
            <w:r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专员</w:t>
            </w:r>
            <w:r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WilliamsCaslonText Regular" w:hint="eastAsia"/>
                <w:iCs/>
                <w:color w:val="211E1E"/>
                <w:kern w:val="0"/>
                <w:sz w:val="18"/>
                <w:szCs w:val="18"/>
              </w:rPr>
              <w:t>北京恩霖金管达贸易有限公司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年8月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t>至</w:t>
            </w:r>
            <w:r w:rsidRPr="00986892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2009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年4月</w:t>
            </w: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建立，维护客户关系，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与客户沟通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发货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时间、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港口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运费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保险等订货的各种细节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，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敲定运输及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结算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方式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。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使各国订单稳定增加。</w:t>
            </w:r>
          </w:p>
        </w:tc>
        <w:tc>
          <w:tcPr>
            <w:tcW w:w="2126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0320B5" w:rsidTr="00A8687B">
        <w:trPr>
          <w:trHeight w:val="672"/>
          <w:jc w:val="center"/>
        </w:trPr>
        <w:tc>
          <w:tcPr>
            <w:tcW w:w="1134" w:type="dxa"/>
            <w:vMerge/>
            <w:tcBorders>
              <w:left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起草，制作英文销售合同；处理信用证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、提单、产地证、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保险单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等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单据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信息；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与航运公司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确认海运提单。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保证每次单据无差错。</w:t>
            </w:r>
          </w:p>
        </w:tc>
        <w:tc>
          <w:tcPr>
            <w:tcW w:w="2126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A8687B">
        <w:trPr>
          <w:trHeight w:val="672"/>
          <w:jc w:val="center"/>
        </w:trPr>
        <w:tc>
          <w:tcPr>
            <w:tcW w:w="1134" w:type="dxa"/>
            <w:vMerge/>
            <w:tcBorders>
              <w:left w:val="nil"/>
              <w:bottom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负责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外汇管理局等政府部门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协调，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与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供货商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协调供货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保证每次贸易顺利完成。</w:t>
            </w:r>
          </w:p>
        </w:tc>
        <w:tc>
          <w:tcPr>
            <w:tcW w:w="2126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8E0306">
        <w:trPr>
          <w:trHeight w:val="354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</w:tcBorders>
          </w:tcPr>
          <w:p w:rsidR="008D4AF3" w:rsidRPr="00986892" w:rsidRDefault="008D4AF3" w:rsidP="00815BF5">
            <w:pPr>
              <w:spacing w:beforeLines="50" w:before="156" w:afterLines="50" w:after="156" w:line="240" w:lineRule="exact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986892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签证服务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专员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瑟盾（北京）翻译有限公司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年5月至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年6月</w:t>
            </w:r>
          </w:p>
        </w:tc>
        <w:tc>
          <w:tcPr>
            <w:tcW w:w="5103" w:type="dxa"/>
          </w:tcPr>
          <w:p w:rsidR="008D4AF3" w:rsidRPr="00986892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制作签证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材料模板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，起草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各种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交给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使馆的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英文文件。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C06F35"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提高了</w:t>
            </w:r>
            <w:r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效率和</w:t>
            </w:r>
            <w:r w:rsidRPr="00C06F35"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批签率</w:t>
            </w:r>
            <w:r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126" w:type="dxa"/>
            <w:vMerge/>
            <w:tcBorders>
              <w:right w:val="nil"/>
            </w:tcBorders>
          </w:tcPr>
          <w:p w:rsidR="008D4AF3" w:rsidRPr="006E4545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8E0306">
        <w:trPr>
          <w:trHeight w:val="354"/>
          <w:jc w:val="center"/>
        </w:trPr>
        <w:tc>
          <w:tcPr>
            <w:tcW w:w="1134" w:type="dxa"/>
            <w:vMerge/>
            <w:tcBorders>
              <w:left w:val="nil"/>
            </w:tcBorders>
          </w:tcPr>
          <w:p w:rsidR="008D4AF3" w:rsidRPr="00986892" w:rsidRDefault="008D4AF3" w:rsidP="00815BF5">
            <w:pPr>
              <w:spacing w:beforeLines="50" w:before="156" w:afterLines="50" w:after="156" w:line="240" w:lineRule="exact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D4AF3"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负责翻译组</w:t>
            </w:r>
            <w:r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的</w:t>
            </w:r>
            <w:r w:rsidRPr="008D4AF3"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审阅、</w:t>
            </w:r>
            <w:r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定稿</w:t>
            </w:r>
            <w:r w:rsidRPr="008D4AF3"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。</w:t>
            </w:r>
            <w:r w:rsidRPr="00C06F35"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保证</w:t>
            </w:r>
            <w:r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翻译</w:t>
            </w:r>
            <w:r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质量，让</w:t>
            </w:r>
            <w:r w:rsidRPr="00C06F35"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客户</w:t>
            </w:r>
            <w:r w:rsidRPr="00C06F35"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满意。</w:t>
            </w:r>
          </w:p>
        </w:tc>
        <w:tc>
          <w:tcPr>
            <w:tcW w:w="2126" w:type="dxa"/>
            <w:vMerge/>
            <w:tcBorders>
              <w:bottom w:val="nil"/>
              <w:right w:val="nil"/>
            </w:tcBorders>
          </w:tcPr>
          <w:p w:rsidR="008D4AF3" w:rsidRPr="006E4545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</w:tbl>
    <w:p w:rsidR="0067604E" w:rsidRPr="00C06F35" w:rsidRDefault="0067604E" w:rsidP="00DE600B">
      <w:pPr>
        <w:spacing w:beforeLines="50" w:before="156" w:afterLines="50" w:after="156" w:line="240" w:lineRule="exact"/>
        <w:jc w:val="left"/>
        <w:rPr>
          <w:rFonts w:ascii="方正兰亭细黑_GBK" w:eastAsia="方正兰亭细黑_GBK" w:hAnsi="AvenirNext LT Pro Regular"/>
          <w:sz w:val="18"/>
          <w:szCs w:val="18"/>
        </w:rPr>
      </w:pPr>
    </w:p>
    <w:sectPr w:rsidR="0067604E" w:rsidRPr="00C06F35" w:rsidSect="00844858">
      <w:pgSz w:w="11906" w:h="16838"/>
      <w:pgMar w:top="1021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EE2" w:rsidRDefault="00A34EE2" w:rsidP="00231ED3">
      <w:r>
        <w:separator/>
      </w:r>
    </w:p>
  </w:endnote>
  <w:endnote w:type="continuationSeparator" w:id="0">
    <w:p w:rsidR="00A34EE2" w:rsidRDefault="00A34EE2" w:rsidP="0023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方正兰亭细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EE2" w:rsidRDefault="00A34EE2" w:rsidP="00231ED3">
      <w:r>
        <w:separator/>
      </w:r>
    </w:p>
  </w:footnote>
  <w:footnote w:type="continuationSeparator" w:id="0">
    <w:p w:rsidR="00A34EE2" w:rsidRDefault="00A34EE2" w:rsidP="0023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72C"/>
    <w:multiLevelType w:val="hybridMultilevel"/>
    <w:tmpl w:val="E11A4F58"/>
    <w:lvl w:ilvl="0" w:tplc="640C8BC0">
      <w:start w:val="1"/>
      <w:numFmt w:val="decimal"/>
      <w:lvlText w:val="%1."/>
      <w:lvlJc w:val="left"/>
      <w:pPr>
        <w:ind w:left="255" w:hanging="360"/>
      </w:pPr>
      <w:rPr>
        <w:rFonts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1">
    <w:nsid w:val="0A533FEF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2">
    <w:nsid w:val="0DBE72A7"/>
    <w:multiLevelType w:val="hybridMultilevel"/>
    <w:tmpl w:val="8EB64C1A"/>
    <w:lvl w:ilvl="0" w:tplc="D04ECDE6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3">
    <w:nsid w:val="22A30F04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4">
    <w:nsid w:val="4620737B"/>
    <w:multiLevelType w:val="hybridMultilevel"/>
    <w:tmpl w:val="3E3A9CC6"/>
    <w:lvl w:ilvl="0" w:tplc="FE6C2C2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ind w:left="3672" w:hanging="420"/>
      </w:pPr>
    </w:lvl>
  </w:abstractNum>
  <w:abstractNum w:abstractNumId="5">
    <w:nsid w:val="711A4215"/>
    <w:multiLevelType w:val="hybridMultilevel"/>
    <w:tmpl w:val="DCDA151C"/>
    <w:lvl w:ilvl="0" w:tplc="EDE4E598">
      <w:start w:val="1"/>
      <w:numFmt w:val="bullet"/>
      <w:lvlText w:val=""/>
      <w:lvlJc w:val="left"/>
      <w:pPr>
        <w:ind w:left="3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238B3"/>
    <w:rsid w:val="000320B5"/>
    <w:rsid w:val="00066A18"/>
    <w:rsid w:val="00092B66"/>
    <w:rsid w:val="000C354D"/>
    <w:rsid w:val="000D6C90"/>
    <w:rsid w:val="0011342A"/>
    <w:rsid w:val="00131023"/>
    <w:rsid w:val="00136B15"/>
    <w:rsid w:val="0018345A"/>
    <w:rsid w:val="0018353F"/>
    <w:rsid w:val="00197159"/>
    <w:rsid w:val="001B1ED0"/>
    <w:rsid w:val="001F09E3"/>
    <w:rsid w:val="00231ED3"/>
    <w:rsid w:val="00233B63"/>
    <w:rsid w:val="00237442"/>
    <w:rsid w:val="00272F45"/>
    <w:rsid w:val="002B4D41"/>
    <w:rsid w:val="00335ADC"/>
    <w:rsid w:val="00364F44"/>
    <w:rsid w:val="003754D6"/>
    <w:rsid w:val="00375C71"/>
    <w:rsid w:val="003955CA"/>
    <w:rsid w:val="003C74EA"/>
    <w:rsid w:val="00465D16"/>
    <w:rsid w:val="004B2C78"/>
    <w:rsid w:val="004E3D3F"/>
    <w:rsid w:val="004E54DC"/>
    <w:rsid w:val="00501298"/>
    <w:rsid w:val="005714A7"/>
    <w:rsid w:val="00590D16"/>
    <w:rsid w:val="005C3219"/>
    <w:rsid w:val="00640336"/>
    <w:rsid w:val="0064467E"/>
    <w:rsid w:val="00666792"/>
    <w:rsid w:val="0067604E"/>
    <w:rsid w:val="006A4680"/>
    <w:rsid w:val="006C3F50"/>
    <w:rsid w:val="006E4545"/>
    <w:rsid w:val="0070267E"/>
    <w:rsid w:val="007B020E"/>
    <w:rsid w:val="007D1C22"/>
    <w:rsid w:val="007E2A4D"/>
    <w:rsid w:val="007E3A05"/>
    <w:rsid w:val="008048FF"/>
    <w:rsid w:val="00815BF5"/>
    <w:rsid w:val="00832D42"/>
    <w:rsid w:val="00844858"/>
    <w:rsid w:val="008C13BB"/>
    <w:rsid w:val="008D4AF3"/>
    <w:rsid w:val="008E4D03"/>
    <w:rsid w:val="00921019"/>
    <w:rsid w:val="00936F09"/>
    <w:rsid w:val="00986892"/>
    <w:rsid w:val="00994890"/>
    <w:rsid w:val="009C78F0"/>
    <w:rsid w:val="009E0154"/>
    <w:rsid w:val="009F0E4B"/>
    <w:rsid w:val="00A171AE"/>
    <w:rsid w:val="00A23317"/>
    <w:rsid w:val="00A30DDE"/>
    <w:rsid w:val="00A34EE2"/>
    <w:rsid w:val="00A44007"/>
    <w:rsid w:val="00A54FFE"/>
    <w:rsid w:val="00A71A57"/>
    <w:rsid w:val="00A73548"/>
    <w:rsid w:val="00AC2EBA"/>
    <w:rsid w:val="00AE0BC2"/>
    <w:rsid w:val="00B16132"/>
    <w:rsid w:val="00B65668"/>
    <w:rsid w:val="00BB3798"/>
    <w:rsid w:val="00BC4444"/>
    <w:rsid w:val="00BC5020"/>
    <w:rsid w:val="00BC5846"/>
    <w:rsid w:val="00C06F35"/>
    <w:rsid w:val="00C2755E"/>
    <w:rsid w:val="00C506C2"/>
    <w:rsid w:val="00C600F0"/>
    <w:rsid w:val="00C61422"/>
    <w:rsid w:val="00C93D98"/>
    <w:rsid w:val="00CA2A2D"/>
    <w:rsid w:val="00CC0694"/>
    <w:rsid w:val="00CD2B24"/>
    <w:rsid w:val="00D05BE4"/>
    <w:rsid w:val="00D20427"/>
    <w:rsid w:val="00D27955"/>
    <w:rsid w:val="00D30684"/>
    <w:rsid w:val="00D516B3"/>
    <w:rsid w:val="00D57A5B"/>
    <w:rsid w:val="00D624BF"/>
    <w:rsid w:val="00DC4EF1"/>
    <w:rsid w:val="00DC52CD"/>
    <w:rsid w:val="00DE600B"/>
    <w:rsid w:val="00E8280A"/>
    <w:rsid w:val="00E94BCD"/>
    <w:rsid w:val="00EB0933"/>
    <w:rsid w:val="00EC3C60"/>
    <w:rsid w:val="00EC52AE"/>
    <w:rsid w:val="00EE3B58"/>
    <w:rsid w:val="00F050DB"/>
    <w:rsid w:val="00F15AB6"/>
    <w:rsid w:val="00F75CD4"/>
    <w:rsid w:val="00F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1E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1ED3"/>
    <w:rPr>
      <w:sz w:val="18"/>
      <w:szCs w:val="18"/>
    </w:rPr>
  </w:style>
  <w:style w:type="paragraph" w:styleId="a7">
    <w:name w:val="List Paragraph"/>
    <w:basedOn w:val="a"/>
    <w:uiPriority w:val="34"/>
    <w:qFormat/>
    <w:rsid w:val="00936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leeh@fox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B547-669A-4695-A9ED-A3B5D3A05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8</cp:revision>
  <dcterms:created xsi:type="dcterms:W3CDTF">2014-03-14T02:06:00Z</dcterms:created>
  <dcterms:modified xsi:type="dcterms:W3CDTF">2014-03-14T02:34:00Z</dcterms:modified>
</cp:coreProperties>
</file>