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103"/>
        <w:gridCol w:w="1984"/>
      </w:tblGrid>
      <w:tr w:rsidR="00EC52AE" w:rsidRPr="00A71A57" w:rsidTr="0091198F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0311E5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</w:pPr>
            <w:r w:rsidRPr="000311E5"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  <w:t xml:space="preserve">Nick </w:t>
            </w:r>
            <w:r w:rsidR="00870064" w:rsidRPr="000311E5"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0311E5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 w:rsidRPr="000311E5"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D6E61" w:rsidRPr="000311E5">
                <w:rPr>
                  <w:rStyle w:val="a4"/>
                  <w:rFonts w:ascii="AvenirNext LT Pro Regular" w:hAnsi="AvenirNext LT Pro Regular" w:cs="WilliamsCaslonText Regular"/>
                  <w:kern w:val="0"/>
                  <w:sz w:val="18"/>
                  <w:szCs w:val="18"/>
                </w:rPr>
                <w:t>nickleeh@hotmail.com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BoldCn" w:hAnsi="AvenirNext LT Pro BoldCn"/>
                <w:b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0311E5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Bachelor of English,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College of Fore</w:t>
            </w:r>
            <w:r w:rsidR="001D4CEA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ign Studies, Yanshan University</w:t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3" w:type="dxa"/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 platform to combine the English language skills with business field knowledge. Courses offered in Fundamentals of Business, Economics, International Finance and Marketing.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Default="005714A7" w:rsidP="00AF1D8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 w:hint="eastAsia"/>
                <w:b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9D6E61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A2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 xml:space="preserve"> level</w:t>
            </w:r>
          </w:p>
          <w:p w:rsidR="00B94473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</w:t>
            </w:r>
            <w:r w:rsidR="00A4699A">
              <w:rPr>
                <w:rFonts w:ascii="AvenirNext LT Pro Regular" w:hAnsi="AvenirNext LT Pro Regular"/>
                <w:sz w:val="18"/>
                <w:szCs w:val="18"/>
              </w:rPr>
              <w:t xml:space="preserve"> software; Capable in Photoshop; Familiar with InDesign typesetting software and the usage of various fonts.</w:t>
            </w:r>
          </w:p>
          <w:p w:rsidR="00B94473" w:rsidRP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>Chinese: Putonghua 2A</w:t>
            </w: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BoldCn" w:hAnsi="AvenirNext LT Pro BoldCn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C44002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C44002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Dec</w:t>
            </w:r>
            <w:bookmarkStart w:id="0" w:name="_GoBack"/>
            <w:bookmarkEnd w:id="0"/>
            <w:r w:rsidR="00D137AA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2013</w:t>
            </w:r>
          </w:p>
        </w:tc>
        <w:tc>
          <w:tcPr>
            <w:tcW w:w="5103" w:type="dxa"/>
          </w:tcPr>
          <w:p w:rsidR="00E8458A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with cash and cheque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BD3475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84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E8458A" w:rsidRPr="00E8458A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</w:t>
            </w:r>
            <w:r w:rsidR="0077056B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ction of Beijing Justice Bureau. / Draft Due Diligence Report, legal advice in MA project.</w:t>
            </w:r>
          </w:p>
          <w:p w:rsidR="00BD3475" w:rsidRPr="0026342A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91198F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3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103" w:type="dxa"/>
          </w:tcPr>
          <w:p w:rsidR="0091198F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873B98" w:rsidRPr="00131023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AB2F0C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</w:p>
          <w:p w:rsidR="005714A7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1984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5714A7" w:rsidRPr="008C13B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, draft English documents to be lodged to the embassy.</w:t>
            </w:r>
            <w:r w:rsidR="0091198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5828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</w:p>
          <w:p w:rsidR="005714A7" w:rsidRPr="008C13B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9E3D7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77056B">
      <w:pgSz w:w="11906" w:h="16838"/>
      <w:pgMar w:top="907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57" w:rsidRDefault="00F97E57" w:rsidP="00F12F7F">
      <w:r>
        <w:separator/>
      </w:r>
    </w:p>
  </w:endnote>
  <w:endnote w:type="continuationSeparator" w:id="0">
    <w:p w:rsidR="00F97E57" w:rsidRDefault="00F97E57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Medium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AvenirNext LT Pro Bold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57" w:rsidRDefault="00F97E57" w:rsidP="00F12F7F">
      <w:r>
        <w:separator/>
      </w:r>
    </w:p>
  </w:footnote>
  <w:footnote w:type="continuationSeparator" w:id="0">
    <w:p w:rsidR="00F97E57" w:rsidRDefault="00F97E57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11E5"/>
    <w:rsid w:val="00075828"/>
    <w:rsid w:val="0011342A"/>
    <w:rsid w:val="00131023"/>
    <w:rsid w:val="00136B15"/>
    <w:rsid w:val="0018345A"/>
    <w:rsid w:val="0018353F"/>
    <w:rsid w:val="001B1ED0"/>
    <w:rsid w:val="001D4CEA"/>
    <w:rsid w:val="0026342A"/>
    <w:rsid w:val="002B1D67"/>
    <w:rsid w:val="002B4D41"/>
    <w:rsid w:val="002D10DA"/>
    <w:rsid w:val="003300AE"/>
    <w:rsid w:val="00375C71"/>
    <w:rsid w:val="003B6867"/>
    <w:rsid w:val="003E6547"/>
    <w:rsid w:val="0044755A"/>
    <w:rsid w:val="004B616C"/>
    <w:rsid w:val="004E56F6"/>
    <w:rsid w:val="00501298"/>
    <w:rsid w:val="005714A7"/>
    <w:rsid w:val="00640336"/>
    <w:rsid w:val="0064467E"/>
    <w:rsid w:val="00666792"/>
    <w:rsid w:val="0067604E"/>
    <w:rsid w:val="006C3F50"/>
    <w:rsid w:val="007010A3"/>
    <w:rsid w:val="0070267E"/>
    <w:rsid w:val="0072359F"/>
    <w:rsid w:val="0077056B"/>
    <w:rsid w:val="00790602"/>
    <w:rsid w:val="007E2A4D"/>
    <w:rsid w:val="007F727F"/>
    <w:rsid w:val="00805428"/>
    <w:rsid w:val="00844858"/>
    <w:rsid w:val="00870064"/>
    <w:rsid w:val="00873B98"/>
    <w:rsid w:val="008C13BB"/>
    <w:rsid w:val="008D2CCA"/>
    <w:rsid w:val="0091198F"/>
    <w:rsid w:val="00984A5C"/>
    <w:rsid w:val="009D6E61"/>
    <w:rsid w:val="009E3D7F"/>
    <w:rsid w:val="009F0E4B"/>
    <w:rsid w:val="00A10A9D"/>
    <w:rsid w:val="00A4699A"/>
    <w:rsid w:val="00A54FFE"/>
    <w:rsid w:val="00A71A57"/>
    <w:rsid w:val="00AB2F0C"/>
    <w:rsid w:val="00AE0BC2"/>
    <w:rsid w:val="00AF1D8D"/>
    <w:rsid w:val="00B15D4B"/>
    <w:rsid w:val="00B21D01"/>
    <w:rsid w:val="00B94473"/>
    <w:rsid w:val="00BB3BCE"/>
    <w:rsid w:val="00BC5020"/>
    <w:rsid w:val="00BD3475"/>
    <w:rsid w:val="00C44002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E0142A"/>
    <w:rsid w:val="00E8280A"/>
    <w:rsid w:val="00E8458A"/>
    <w:rsid w:val="00EC3C60"/>
    <w:rsid w:val="00EC52AE"/>
    <w:rsid w:val="00EE3B58"/>
    <w:rsid w:val="00F050DB"/>
    <w:rsid w:val="00F070A3"/>
    <w:rsid w:val="00F12F7F"/>
    <w:rsid w:val="00F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78F9-7BFE-4ED6-B062-F402A0A5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8</cp:revision>
  <dcterms:created xsi:type="dcterms:W3CDTF">2015-04-07T14:14:00Z</dcterms:created>
  <dcterms:modified xsi:type="dcterms:W3CDTF">2015-04-07T14:37:00Z</dcterms:modified>
</cp:coreProperties>
</file>