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within the three-minute limit the Chair imposed on public testimony, and, together with Alison Famisan-Levasseur, submitted written testimony and a Memorandum in Opposition to the Board by email before the hearing.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After the public hearing was closed, Vice Chair Craig St. Pierre stated findings and moved to grant relief from all six sections. The motion was seconded and carried four to one, with Member Mathew Carnevale opposed. Before the vote Member Carnevale had asked the applicant's engineer how “an actual hardship exists that would override the prime instruction, which is that this is not an area that's zoned for townhouses,” and whether the applicant had obtained a broker's price opinion on surrounding property values; the engineer answered, “So no, we did not.” (Recording at 1:50:08–1:51:25.) </w:t>
      </w:r>
      <w:r>
        <w:rPr>
          <w:b/>
          <w:bCs/>
          <w:sz w:val="22"/>
          <w:szCs w:val="22"/>
          <w:highlight w:val="yellow"/>
          <w:highlightCs w:val="yellow"/>
        </w:rPr>
        <w:t xml:space="preserve">[Confirm the spelling of members' names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“I do think this property has some very unique characteristics. 18% of it has slope that's undevelopable by ordinance.” (Recording at 1:56:07.) In his findings he repeated that the lot has “a lot of slopes, including 18% that is undevelopable based on the city's calculation of the slope review.” (1:57:48.) No witness testified to that proposition. The applicant's memorandum does not make it. The applicant's only written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applicant's engineer, answering Member Carnevale, conceded that “if you looked at just the square footages, this lot would support more than what we're showing here, just physically based on buildable area divided by 6,000,” that is, more than the five house lots shown on the by-right plan. (1:53:46.) The hardship theory on which the Board's findings rest, that the slope deduction renders the land undevelopable,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stated: “Also, I am a real estate broker, and I'm not aware of any circumstance where development of this nature in Manchester has diminished a property around it. I've never seen a report or evidence of that. In general, reasonably well thought out development increases values.” (1:59:02.) That statement came minutes after the applicant's engineer had admitted, in answer to Member Carnevale's direct question, that the applicant had obtained no broker's opinion and offered to get one “if the board felt that that was needed.” (1:51:22.) The applicant's entire written showing on this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Third, the Board found a traffic-safety benefit that no witness had offered. Vice Chair St. Pierre stated during deliberation that “by removing curb cuts into Calef, I think we improve safety tremendously” (1:56:13), and in his findings of fact that allowing the planned development “reduces the need for curb cuts on Calef Road and preserves existing on-street parking, in addition to moving the entrance to one location that's off of Titus Avenue, which is in general safer to turn on to than the busier Calef.” (1:58:13.)</w:t>
      </w:r>
    </w:p>
    <w:p>
      <w:pPr>
        <w:pStyle w:val="ListParagraph"/>
        <w:numPr>
          <w:ilvl w:val="0"/>
          <w:numId w:val="2"/>
        </w:numPr>
        <w:spacing w:after="110" w:line="300"/>
      </w:pPr>
      <w:r>
        <w:rPr>
          <w:sz w:val="22"/>
          <w:szCs w:val="22"/>
        </w:rPr>
        <w:t xml:space="preserve">No one testified to that comparison. The applicant's engineer said only that four driveways on Calef Road would be a “difficulty” and that Calef is “a heavily traveled road” (1:09:04), and the owner asked rhetorically whether the City would “really want to have five curb cuts along Calef.” (1:49:28.) Neither offered a traffic count, a trip-generation estimate, a sight-distance analysis, crash data, or any professional opinion that an entrance on Titus Avenue is safer than driveways on Calef Road. The application contains no traffic study of any kind.</w:t>
      </w:r>
    </w:p>
    <w:p>
      <w:pPr>
        <w:pStyle w:val="ListParagraph"/>
        <w:numPr>
          <w:ilvl w:val="0"/>
          <w:numId w:val="2"/>
        </w:numPr>
        <w:spacing w:after="110" w:line="300"/>
      </w:pPr>
      <w:r>
        <w:rPr>
          <w:sz w:val="22"/>
          <w:szCs w:val="22"/>
        </w:rPr>
        <w:t xml:space="preserve">The only document in the record that bears on intersection safety is the City's Zoning Review, which lists “Visibility at Intersections” under §8.4 as a requirement and records the remark “No Information.” The Board made an affirmative finding that the project improves safety on a record in which the City's own reviewer had noted that no information on the subject had been submitted. The testimony that did address safety ran the other way. Abutters told the Board that this is “a very dangerous area already and very heavily trafficked” (1:32:48), questioned fire-truck access (1:29:12), and stated that “there's been no traffic, parking, or light study to ensure the safety of the intersection.” (1:35:24.) The Board resolved a contested safety question in the applicant's favor using a comparison that no party had made and that the objectors had no opportunity to answer.</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the basis of the opinion offered on property values, and the evidentiary basis for the finding that the proposal improves traffic safety, and afford the parties an opportunity to respond to each.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A claimed safety benefit of the proposed design is not a special condition of the property. RSA 674:33, I(b) asks what is distinctive about the land, not whether the project the applicant prefers would be an improvement on the project the ordinance permits. </w:t>
      </w:r>
      <w:r>
        <w:rPr>
          <w:i/>
          <w:iCs/>
          <w:sz w:val="22"/>
          <w:szCs w:val="22"/>
        </w:rPr>
        <w:t xml:space="preserve">Bacon v. Town of Enfield</w:t>
      </w:r>
      <w:r>
        <w:rPr>
          <w:sz w:val="22"/>
          <w:szCs w:val="22"/>
        </w:rPr>
        <w:t xml:space="preserve">, 150 N.H. 468 (2004). The Vice Chair's framing was explicitly comparative: “so when I weigh these, I look at, if they're allowed to do or say they did do those five houses, is that more in benefit of safety? Is it more in benefit of the neighbors, of the spirit?” (1:56:20.) That weighs which of two developments the Board would prefer to see. It is not the statutory test. The question under I(b)(2) is whether the property can be reasonably used in strict conformance with the ordinance, and the applicant's own by-right plan answers it.</w:t>
      </w:r>
    </w:p>
    <w:p>
      <w:pPr>
        <w:pStyle w:val="ListParagraph"/>
        <w:numPr>
          <w:ilvl w:val="0"/>
          <w:numId w:val="2"/>
        </w:numPr>
        <w:spacing w:after="110" w:line="300"/>
      </w:pPr>
      <w:r>
        <w:rPr>
          <w:sz w:val="22"/>
          <w:szCs w:val="22"/>
        </w:rPr>
        <w:t xml:space="preserve">If the configuration of driveways was to carry weight, proving it was the applicant's burden and the applicant did not carry it. When Member Carnevale asked directly whether the applicant had obtained evidence on the fourth criterion, the engineer answered “so no, we did not,” and offered to obtain it “if the board felt that that was needed.” (1:51:22.) The applicant made the same choice on traffic: it asserted a difficulty and produced no study. A variance applicant who elects not to obtain the evidence supporting a criterion cannot have the finding made for him from the table. The Board relieved the applicant of the burden the statute places on it, and did so on the criterion that decided the case.</w:t>
      </w:r>
    </w:p>
    <w:p>
      <w:pPr>
        <w:pStyle w:val="ListParagraph"/>
        <w:numPr>
          <w:ilvl w:val="0"/>
          <w:numId w:val="2"/>
        </w:numPr>
        <w:spacing w:after="110" w:line="300"/>
      </w:pPr>
      <w:r>
        <w:rPr>
          <w:sz w:val="22"/>
          <w:szCs w:val="22"/>
        </w:rPr>
        <w:t xml:space="preserve">The four driveways on Calef Road are, in any event, a feature of a drawing the applicant prepared, not a constraint of the land. The parcel has frontage on both Calef Road and Titus Avenue, and the Zoning Review records lot width of 168.95 feet where 150 feet is required. Nothing in the ordinance compelled the conforming layout to place four curb cuts on Calef Road, and no alternative conforming configuration, whether a different lot arrangement, a shared driveway, or fewer lots, was presented to the Board or examined by it. A difficulty the applicant drew into its own exhibit cannot establish that the land cannot be reasonably used in conformance with the ordinance.</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w:t>
      </w:r>
    </w:p>
    <w:p>
      <w:pPr>
        <w:pStyle w:val="ListParagraph"/>
        <w:numPr>
          <w:ilvl w:val="0"/>
          <w:numId w:val="2"/>
        </w:numPr>
        <w:spacing w:after="110" w:line="300"/>
      </w:pPr>
      <w:r>
        <w:rPr>
          <w:sz w:val="22"/>
          <w:szCs w:val="22"/>
        </w:rPr>
        <w:t xml:space="preserve">The ordinance states the intent of the R-1B district in terms: “to maintain higher-density neighborhoods of single-family, detached dwellings” (Table 3.3-A, District Descriptions). The applicant's memorandum argued that the spirit of the district is “to provide higher density residential neighborhoods.” The ordinance says the opposite: the density is to be achieved with single-family, detached dwellings. The same table assigns the transitional role the applicant claims for this project to a different district, R-2, which “forms a loose band around the more densely developed areas of the City, transitioning between mixed-use centers and the lower densities of the single-family districts,” and assigns townhouses to R-M, which is intended “to provide for neighborhoods comprised of a mix of apartment complexes, townhouses, and houses.”</w:t>
      </w:r>
    </w:p>
    <w:p>
      <w:pPr>
        <w:pStyle w:val="ListParagraph"/>
        <w:numPr>
          <w:ilvl w:val="0"/>
          <w:numId w:val="2"/>
        </w:numPr>
        <w:spacing w:after="110" w:line="300"/>
      </w:pPr>
      <w:r>
        <w:rPr>
          <w:sz w:val="22"/>
          <w:szCs w:val="22"/>
        </w:rPr>
        <w:t xml:space="preserve">Table 4.3-A lists Dwelling, Multifamily as not permitted in R-S, R-1A, R-1B, or R-2; the first district in which it is permitted is R-M. Table 5.3-A permits the Townhouse building type only in R-M, MX-2, BC-1, DT-1, and the Millyard, and by conditional use permit in ID. The ordinance's Townhouse standards (§5.3.1.E) would in fact allow a thirteen-unit townhouse project on a lot of this size in the R-M district. The relief the applicant sought is, in substance, a rezoning of this parcel from R-1B to R-M. That is a legislative act reserved to the Board of Mayor and Aldermen under RSA 675, not a variance.</w:t>
      </w:r>
    </w:p>
    <w:p>
      <w:pPr>
        <w:pStyle w:val="ListParagraph"/>
        <w:numPr>
          <w:ilvl w:val="0"/>
          <w:numId w:val="2"/>
        </w:numPr>
        <w:spacing w:after="110" w:line="300"/>
      </w:pPr>
      <w:r>
        <w:rPr>
          <w:sz w:val="22"/>
          <w:szCs w:val="22"/>
        </w:rPr>
        <w:t xml:space="preserve">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Section 8.7.1.C provides that “planned developments shall only include such building types as are permitted in the district,” so a two-building townhouse development in R-1B is not permitted as a planned development independently of the use and building-type prohibitions. No variance from §8.7.1.C was requested or granted.</w:t>
      </w:r>
    </w:p>
    <w:p>
      <w:pPr>
        <w:pStyle w:val="ListParagraph"/>
        <w:numPr>
          <w:ilvl w:val="0"/>
          <w:numId w:val="2"/>
        </w:numPr>
        <w:spacing w:after="110" w:line="300"/>
      </w:pPr>
      <w:r>
        <w:rPr>
          <w:sz w:val="22"/>
          <w:szCs w:val="22"/>
        </w:rPr>
        <w:t xml:space="preserve">Section 8.7.2.B.2 provides that for parcels of less than five acres, “the rear yard setback of the district shall apply to all side and rear lot lines.” The R-1B rear yard setback is thirty feet. The approved site plan shows ten-foot side and rear setbacks along the north and east lot lines. No variance from §8.7.2.B.2 was requested or granted. The approval therefore rests on a plan that cannot be built as drawn without further relief the Board has not considered.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 The Board's own By-Laws provide that a member with a direct personal or financial interest shall disqualify himself and absent himself from the Board table during the public hearing and all deliberation (Article IV), and that members “must not engage in ‘ex parte’ conversations material to the application” (Article XV).</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stated: “One of the perennial things that we see in almost all of these cases is the trees and the cutting down, and, as the applicant had, beat me to, when folks are doing a single family they can cut all those trees down.” (Recording at 1:55:50.) The remark indicates that he had arrived at deliberation with arguments in support of the application prepared in advance and was tracking which of them the applicant had already made.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after="120" w:line="300"/>
      </w:pPr>
      <w:r>
        <w:rPr>
          <w:b/>
          <w:bCs/>
          <w:sz w:val="22"/>
          <w:szCs w:val="22"/>
        </w:rPr>
        <w:t xml:space="preserve">Ground 8. The Board applied a different standard to this application than it applied, minutes earlier, to Case No. ZBA2026-055.</w:t>
      </w:r>
    </w:p>
    <w:p>
      <w:pPr>
        <w:pStyle w:val="ListParagraph"/>
        <w:numPr>
          <w:ilvl w:val="0"/>
          <w:numId w:val="2"/>
        </w:numPr>
        <w:spacing w:after="110" w:line="300"/>
      </w:pPr>
      <w:r>
        <w:rPr>
          <w:sz w:val="22"/>
          <w:szCs w:val="22"/>
        </w:rPr>
        <w:t xml:space="preserve">Immediately before this case, the Board heard Case No. ZBA2026-055, 218 South Lincoln Street, in which the owner of a two-family dwelling in the R-2 district sought a variance from the same section, §4.3-A.1.C, to add a third unit inside the existing building. That application sought one variance, met every dimensional standard in the zoning review, proposed six parking spaces where three were required, changed no exterior footprint, and was supported by a written broker's opinion on property values and an annotated map of the surrounding neighborhood. The Board denied it unanimously.</w:t>
      </w:r>
    </w:p>
    <w:p>
      <w:pPr>
        <w:pStyle w:val="ListParagraph"/>
        <w:numPr>
          <w:ilvl w:val="0"/>
          <w:numId w:val="2"/>
        </w:numPr>
        <w:spacing w:after="110" w:line="300"/>
      </w:pPr>
      <w:r>
        <w:rPr>
          <w:sz w:val="22"/>
          <w:szCs w:val="22"/>
        </w:rPr>
        <w:t xml:space="preserve">The Chair asked Vice Chair St. Pierre to state the findings of fact, as he did later in this case. In stating those findings, Vice Chair St. Pierre said: “The inability to subdivide is not a hardship.” He said the spirit of the R-2 district “is a mix of single and duplexes,” and that because the applicant's own exhibit showed “41 singles, five two-families, and one three,” the request was “clearly out of the spirit of the ordinance by definition, but it's also not in keeping with the character of this neighborhood.” He said that a condition the applicant had a hand in creating is “not a hardship,” and that if such a condition were considered at all it was self-created, and that “there's no evidence here in my mind that the spirit's observed or any substantial justice is done, let alone a hardship.” (Recording at 1:00:04–1:01:28; findings at 1:02:57–1:04:04.) Member Carnevale added that the hardship criterion “can't override the fundamental purpose of what something's zoned for.” (1:02:15.)</w:t>
      </w:r>
    </w:p>
    <w:p>
      <w:pPr>
        <w:pStyle w:val="ListParagraph"/>
        <w:numPr>
          <w:ilvl w:val="0"/>
          <w:numId w:val="2"/>
        </w:numPr>
        <w:spacing w:after="110" w:line="300"/>
      </w:pPr>
      <w:r>
        <w:rPr>
          <w:sz w:val="22"/>
          <w:szCs w:val="22"/>
        </w:rPr>
        <w:t xml:space="preserve">Each of those propositions applies with greater force to this application. The ordinance states the intent of R-1B as “single-family, detached dwellings,” a narrower use than the mix of singles and duplexes that defines R-2. The applicant's own zoning exhibit shows that every residential lot abutting the parcel within R-1B is developed with single-family homes. The applicant bought the parcel from the City as R-1B land in 2024, and its own engineer drew a conforming five-lot plan. The applicant offered no evidence at all on property values, where the South Lincoln applicant had offered a broker's opinion. Yet within the same hour the same member described this neighborhood as “a transitional area,” supplied the missing hardship and property-value evidence himself, and moved to approve six variances, including the use and the building type, for a project on a lot at 63 percent of the required area.</w:t>
      </w:r>
    </w:p>
    <w:p>
      <w:pPr>
        <w:pStyle w:val="ListParagraph"/>
        <w:numPr>
          <w:ilvl w:val="0"/>
          <w:numId w:val="2"/>
        </w:numPr>
        <w:spacing w:after="110" w:line="300"/>
      </w:pPr>
      <w:r>
        <w:rPr>
          <w:sz w:val="22"/>
          <w:szCs w:val="22"/>
        </w:rPr>
        <w:t xml:space="preserve">A three-unit conversion inside an existing building, in a district that already permits two-family dwellings, was denied for want of hardship and spirit. A thirteen-unit, three-story multifamily development, in a district that permits neither multifamily use nor the townhouse building type, was approved minutes later on a weaker record. A board acting in a quasi-judicial capacity must apply the statutory criteria consistently to the applications before it. A decision that cannot be reconciled with the Board's own stated reasoning in a like case decided the same evening is unreasonable within the meaning of RSA 677:6, and the Board's decision offers no explanation for the difference.</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 Quotations above are taken from the City's recording of the September 10, 2026 meeting at the times indicated; a transcript of the proceedings in Cases ZBA2026-055 and ZBA2026-063 is attached as Exhibit A.</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2026-09-11T16:22:49.559Z</dcterms:created>
  <dcterms:modified xsi:type="dcterms:W3CDTF">2026-09-11T16:22:49.569Z</dcterms:modified>
</cp:coreProperties>
</file>

<file path=docProps/custom.xml><?xml version="1.0" encoding="utf-8"?>
<Properties xmlns="http://schemas.openxmlformats.org/officeDocument/2006/custom-properties" xmlns:vt="http://schemas.openxmlformats.org/officeDocument/2006/docPropsVTypes"/>
</file>