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jc w:val="center"/>
      </w:pPr>
      <w:r>
        <w:rPr>
          <w:b/>
          <w:bCs/>
          <w:color w:val="8B0000"/>
          <w:sz w:val="30"/>
          <w:szCs w:val="30"/>
        </w:rPr>
        <w:t xml:space="preserve">26 TITUS AVENUE — FIELD REFERENCE</w:t>
      </w:r>
    </w:p>
    <w:p>
      <w:pPr>
        <w:spacing w:after="20"/>
        <w:jc w:val="center"/>
      </w:pPr>
      <w:r>
        <w:rPr>
          <w:b/>
          <w:bCs/>
          <w:sz w:val="20"/>
          <w:szCs w:val="20"/>
        </w:rPr>
        <w:t xml:space="preserve">Facts &amp; Citations by Criterion — Case #ZBA2026-063</w:t>
      </w:r>
    </w:p>
    <w:p>
      <w:pPr>
        <w:spacing w:after="160"/>
        <w:jc w:val="center"/>
      </w:pPr>
      <w:r>
        <w:rPr>
          <w:i/>
          <w:iCs/>
          <w:color w:val="555555"/>
          <w:sz w:val="16"/>
          <w:szCs w:val="16"/>
        </w:rPr>
        <w:t xml:space="preserve">For personal use while canvassing — not for public distribution</w:t>
      </w:r>
    </w:p>
    <w:p>
      <w:pPr>
        <w:spacing w:after="90" w:line="300"/>
      </w:pPr>
      <w:r>
        <w:rPr>
          <w:b/>
          <w:bCs/>
          <w:sz w:val="20"/>
          <w:szCs w:val="20"/>
        </w:rPr>
        <w:t xml:space="preserve">The Zoning Board can only grant this variance if it finds ALL FIVE criteria below are satisfied — RSA 674:33, I(a)(2). If even one fails, denial is required regardless of the others. This sheet gives the exact legal test for each, verified case law, and the specific facts from the application, state law, and Manchester's own ordinances that undercut it — including detail beyond what's in the public testimony/handout, for on-the-spot questions.</w:t>
      </w:r>
    </w:p>
    <w:p>
      <w:pPr>
        <w:shd w:fill="8B0000" w:val="clear"/>
        <w:spacing w:after="100" w:before="260"/>
      </w:pPr>
      <w:r>
        <w:rPr>
          <w:b/>
          <w:bCs/>
          <w:color w:val="FFFFFF"/>
          <w:sz w:val="25"/>
          <w:szCs w:val="25"/>
        </w:rPr>
        <w:t xml:space="preserve">  1. NOT CONTRARY TO THE PUBLIC INTEREST — RSA 674:33, I(a)(2)(A)</w:t>
      </w:r>
    </w:p>
    <w:p>
      <w:pPr>
        <w:spacing w:after="60" w:before="100"/>
      </w:pPr>
      <w:r>
        <w:rPr>
          <w:b/>
          <w:bCs/>
          <w:color w:val="8B0000"/>
          <w:sz w:val="20"/>
          <w:szCs w:val="20"/>
        </w:rPr>
        <w:t xml:space="preserve">The legal standard</w:t>
      </w:r>
    </w:p>
    <w:p>
      <w:pPr>
        <w:spacing w:after="90" w:line="300"/>
      </w:pPr>
      <w:r>
        <w:rPr>
          <w:sz w:val="20"/>
          <w:szCs w:val="20"/>
        </w:rPr>
        <w:t xml:space="preserve">A variance is only “contrary to the public interest” if it would “unduly, and in a marked degree” conflict with the ordinance such that it violates the ordinance’s “basic zoning objectives.” </w:t>
      </w:r>
      <w:r>
        <w:rPr>
          <w:i/>
          <w:iCs/>
          <w:sz w:val="20"/>
          <w:szCs w:val="20"/>
        </w:rPr>
        <w:t xml:space="preserve">Chester Rod &amp; Gun Club v. Town of Chester</w:t>
      </w:r>
      <w:r>
        <w:rPr>
          <w:sz w:val="20"/>
          <w:szCs w:val="20"/>
        </w:rPr>
        <w:t xml:space="preserve">, 152 N.H. 577, 581 (2005); </w:t>
      </w:r>
      <w:r>
        <w:rPr>
          <w:i/>
          <w:iCs/>
          <w:sz w:val="20"/>
          <w:szCs w:val="20"/>
        </w:rPr>
        <w:t xml:space="preserve">Harborside Assocs. v. Parade Residence Hotel</w:t>
      </w:r>
      <w:r>
        <w:rPr>
          <w:sz w:val="20"/>
          <w:szCs w:val="20"/>
        </w:rPr>
        <w:t xml:space="preserve">, 162 N.H. 508, 514 (2011). The Board asks two things: would the variance (a) alter the essential character of the locality, or (b) threaten public health, safety, or welfare? “Mere conflict with the terms of the ordinance is insufficient.” Harborside at 514.</w:t>
      </w:r>
    </w:p>
    <w:p>
      <w:pPr>
        <w:spacing w:after="60" w:before="100"/>
      </w:pPr>
      <w:r>
        <w:rPr>
          <w:b/>
          <w:bCs/>
          <w:color w:val="8B0000"/>
          <w:sz w:val="20"/>
          <w:szCs w:val="20"/>
        </w:rPr>
        <w:t xml:space="preserve">The facts</w:t>
      </w:r>
    </w:p>
    <w:p>
      <w:pPr>
        <w:pStyle w:val="ListParagraph"/>
        <w:numPr>
          <w:ilvl w:val="0"/>
          <w:numId w:val="2"/>
        </w:numPr>
        <w:spacing w:after="70" w:line="290"/>
      </w:pPr>
      <w:r>
        <w:rPr>
          <w:sz w:val="20"/>
          <w:szCs w:val="20"/>
        </w:rPr>
        <w:t xml:space="preserve">No traffic study, parking study, or lighting study anywhere in the application.</w:t>
      </w:r>
    </w:p>
    <w:p>
      <w:pPr>
        <w:pStyle w:val="ListParagraph"/>
        <w:numPr>
          <w:ilvl w:val="0"/>
          <w:numId w:val="2"/>
        </w:numPr>
        <w:spacing w:after="70" w:line="290"/>
      </w:pPr>
      <w:r>
        <w:rPr>
          <w:sz w:val="20"/>
          <w:szCs w:val="20"/>
        </w:rPr>
        <w:t xml:space="preserve">Only 20 parking spaces proposed for 13 units — potentially 40+ residents.</w:t>
      </w:r>
    </w:p>
    <w:p>
      <w:pPr>
        <w:pStyle w:val="ListParagraph"/>
        <w:numPr>
          <w:ilvl w:val="0"/>
          <w:numId w:val="2"/>
        </w:numPr>
        <w:spacing w:after="70" w:line="290"/>
      </w:pPr>
      <w:r>
        <w:rPr>
          <w:sz w:val="20"/>
          <w:szCs w:val="20"/>
        </w:rPr>
        <w:t xml:space="preserve">The zoning review sheet requires Site Lighting Standards (§8.5) but marks it “Not Shown,” with the reviewer noting only “Can Comply” — unverified, not confirmed.</w:t>
      </w:r>
    </w:p>
    <w:p>
      <w:pPr>
        <w:pStyle w:val="ListParagraph"/>
        <w:numPr>
          <w:ilvl w:val="0"/>
          <w:numId w:val="2"/>
        </w:numPr>
        <w:spacing w:after="70" w:line="290"/>
      </w:pPr>
      <w:r>
        <w:rPr>
          <w:sz w:val="20"/>
          <w:szCs w:val="20"/>
        </w:rPr>
        <w:t xml:space="preserve">Manchester Site Plan Regs §9.1(A)(1) exempts only “residential projects creating fewer than 10 dwelling units” from traffic documentation. This project (13 units) exceeds that — a traffic-impact letter is required at minimum under §9.1(A)(2); a full study is the standard example for projects over 50 units or affecting a signalized intersection (§9.1(A)(3)).</w:t>
      </w:r>
    </w:p>
    <w:p>
      <w:pPr>
        <w:pStyle w:val="ListParagraph"/>
        <w:numPr>
          <w:ilvl w:val="0"/>
          <w:numId w:val="2"/>
        </w:numPr>
        <w:spacing w:after="70" w:line="290"/>
      </w:pPr>
      <w:r>
        <w:rPr>
          <w:sz w:val="20"/>
          <w:szCs w:val="20"/>
        </w:rPr>
        <w:t xml:space="preserve">NH DOT’s own traffic documentation guidance separately treats 0–10 units as the minimal tier for residential projects — 13 units clears this external benchmark too.</w:t>
      </w:r>
    </w:p>
    <w:p>
      <w:pPr>
        <w:pStyle w:val="ListParagraph"/>
        <w:numPr>
          <w:ilvl w:val="0"/>
          <w:numId w:val="2"/>
        </w:numPr>
        <w:spacing w:after="70" w:line="290"/>
      </w:pPr>
      <w:r>
        <w:rPr>
          <w:sz w:val="20"/>
          <w:szCs w:val="20"/>
        </w:rPr>
        <w:t xml:space="preserve">The applicant's own memo (case file p. 11, criterion 1) offers only that the neighborhood “comprises of a mix of various uses” and the project is a “reasonable transition” — an assertion, not a study. No trip generation, sight distance, or vehicle count data is offered.</w:t>
      </w:r>
    </w:p>
    <w:p>
      <w:pPr>
        <w:shd w:fill="8B0000" w:val="clear"/>
        <w:spacing w:after="100" w:before="260"/>
      </w:pPr>
      <w:r>
        <w:rPr>
          <w:b/>
          <w:bCs/>
          <w:color w:val="FFFFFF"/>
          <w:sz w:val="25"/>
          <w:szCs w:val="25"/>
        </w:rPr>
        <w:t xml:space="preserve">  2. SPIRIT OF THE ORDINANCE IS OBSERVED — RSA 674:33, I(a)(2)(B)</w:t>
      </w:r>
    </w:p>
    <w:p>
      <w:pPr>
        <w:spacing w:after="60" w:before="100"/>
      </w:pPr>
      <w:r>
        <w:rPr>
          <w:b/>
          <w:bCs/>
          <w:color w:val="8B0000"/>
          <w:sz w:val="20"/>
          <w:szCs w:val="20"/>
        </w:rPr>
        <w:t xml:space="preserve">The legal standard</w:t>
      </w:r>
    </w:p>
    <w:p>
      <w:pPr>
        <w:spacing w:after="90" w:line="300"/>
      </w:pPr>
      <w:r>
        <w:rPr>
          <w:sz w:val="20"/>
          <w:szCs w:val="20"/>
        </w:rPr>
        <w:t xml:space="preserve">Uses the same “unduly, and in a marked degree” test as public interest — the NH Supreme Court has held the two requirements are “coextensive and related.” </w:t>
      </w:r>
      <w:r>
        <w:rPr>
          <w:i/>
          <w:iCs/>
          <w:sz w:val="20"/>
          <w:szCs w:val="20"/>
        </w:rPr>
        <w:t xml:space="preserve">Chester Rod &amp; Gun Club</w:t>
      </w:r>
      <w:r>
        <w:rPr>
          <w:sz w:val="20"/>
          <w:szCs w:val="20"/>
        </w:rPr>
        <w:t xml:space="preserve">, 152 N.H. at 580; </w:t>
      </w:r>
      <w:r>
        <w:rPr>
          <w:i/>
          <w:iCs/>
          <w:sz w:val="20"/>
          <w:szCs w:val="20"/>
        </w:rPr>
        <w:t xml:space="preserve">Malachy Glen Assocs. v. Town of Chichester</w:t>
      </w:r>
      <w:r>
        <w:rPr>
          <w:sz w:val="20"/>
          <w:szCs w:val="20"/>
        </w:rPr>
        <w:t xml:space="preserve">, 155 N.H. 102, 105–106 (2007).</w:t>
      </w:r>
    </w:p>
    <w:p>
      <w:pPr>
        <w:spacing w:after="60" w:before="100"/>
      </w:pPr>
      <w:r>
        <w:rPr>
          <w:b/>
          <w:bCs/>
          <w:color w:val="8B0000"/>
          <w:sz w:val="20"/>
          <w:szCs w:val="20"/>
        </w:rPr>
        <w:t xml:space="preserve">The facts — six variances now sought (confirmed with Planning &amp; Community Development)</w:t>
      </w:r>
    </w:p>
    <w:p>
      <w:pPr>
        <w:spacing w:after="90" w:line="300"/>
      </w:pPr>
      <w:r>
        <w:rPr>
          <w:sz w:val="20"/>
          <w:szCs w:val="20"/>
        </w:rPr>
        <w:t xml:space="preserve">The original denial letter and August 3, 2026 hearing notice cited </w:t>
      </w:r>
      <w:r>
        <w:rPr>
          <w:b/>
          <w:bCs/>
          <w:sz w:val="20"/>
          <w:szCs w:val="20"/>
        </w:rPr>
        <w:t xml:space="preserve">nine</w:t>
      </w:r>
      <w:r>
        <w:rPr>
          <w:sz w:val="20"/>
          <w:szCs w:val="20"/>
        </w:rPr>
        <w:t xml:space="preserve"> ordinance sections. Following a subsequent plan revision, Planning &amp; Community Development has confirmed directly that three — dumpster location, parking-drive landscaping, and fence height — have been resolved and are </w:t>
      </w:r>
      <w:r>
        <w:rPr>
          <w:b/>
          <w:bCs/>
          <w:sz w:val="20"/>
          <w:szCs w:val="20"/>
        </w:rPr>
        <w:t xml:space="preserve">not</w:t>
      </w:r>
      <w:r>
        <w:rPr>
          <w:sz w:val="20"/>
          <w:szCs w:val="20"/>
        </w:rPr>
        <w:t xml:space="preserve"> being pursued at this hearing. The six remaining:</w:t>
      </w:r>
    </w:p>
    <w:p>
      <w:pPr>
        <w:pStyle w:val="ListParagraph"/>
        <w:numPr>
          <w:ilvl w:val="0"/>
          <w:numId w:val="3"/>
        </w:numPr>
        <w:spacing w:after="60" w:line="280"/>
      </w:pPr>
      <w:r>
        <w:rPr>
          <w:sz w:val="19"/>
          <w:szCs w:val="19"/>
        </w:rPr>
        <w:t xml:space="preserve">§4.3-A.1.C — Multifamily Dwellings (the use itself; zoning review lists this as “Not Permitted Per” this section)</w:t>
      </w:r>
    </w:p>
    <w:p>
      <w:pPr>
        <w:pStyle w:val="ListParagraph"/>
        <w:numPr>
          <w:ilvl w:val="0"/>
          <w:numId w:val="3"/>
        </w:numPr>
        <w:spacing w:after="60" w:line="280"/>
      </w:pPr>
      <w:r>
        <w:rPr>
          <w:sz w:val="19"/>
          <w:szCs w:val="19"/>
        </w:rPr>
        <w:t xml:space="preserve">§8.1.2 — Planned Development Lot Area (78,000 SF required; 49,484 SF actual — a 37% shortfall)</w:t>
      </w:r>
    </w:p>
    <w:p>
      <w:pPr>
        <w:pStyle w:val="ListParagraph"/>
        <w:numPr>
          <w:ilvl w:val="0"/>
          <w:numId w:val="3"/>
        </w:numPr>
        <w:spacing w:after="60" w:line="280"/>
      </w:pPr>
      <w:r>
        <w:rPr>
          <w:sz w:val="19"/>
          <w:szCs w:val="19"/>
        </w:rPr>
        <w:t xml:space="preserve">§5.3.1.E — Townhouse Building Type, Districts Permitted (zoning review: “N/C — Townhouse Not Allowed”)</w:t>
      </w:r>
    </w:p>
    <w:p>
      <w:pPr>
        <w:pStyle w:val="ListParagraph"/>
        <w:numPr>
          <w:ilvl w:val="0"/>
          <w:numId w:val="3"/>
        </w:numPr>
        <w:spacing w:after="60" w:line="280"/>
      </w:pPr>
      <w:r>
        <w:rPr>
          <w:sz w:val="19"/>
          <w:szCs w:val="19"/>
        </w:rPr>
        <w:t xml:space="preserve">§5.3.1.E.5.B — Maximum Height in Stories (2.5 allowed; 3 proposed)</w:t>
      </w:r>
    </w:p>
    <w:p>
      <w:pPr>
        <w:pStyle w:val="ListParagraph"/>
        <w:numPr>
          <w:ilvl w:val="0"/>
          <w:numId w:val="3"/>
        </w:numPr>
        <w:spacing w:after="60" w:line="280"/>
      </w:pPr>
      <w:r>
        <w:rPr>
          <w:sz w:val="19"/>
          <w:szCs w:val="19"/>
        </w:rPr>
        <w:t xml:space="preserve">§5.3.1.E.5.C — Maximum Height in Feet (35 ft allowed; 38 ft proposed)</w:t>
      </w:r>
    </w:p>
    <w:p>
      <w:pPr>
        <w:pStyle w:val="ListParagraph"/>
        <w:numPr>
          <w:ilvl w:val="0"/>
          <w:numId w:val="3"/>
        </w:numPr>
        <w:spacing w:after="60" w:line="280"/>
      </w:pPr>
      <w:r>
        <w:rPr>
          <w:sz w:val="19"/>
          <w:szCs w:val="19"/>
        </w:rPr>
        <w:t xml:space="preserve">§8.7.2.F.2 — Parking Location for Planned Developments (8-unit building’s parking sits within 20 ft of the building)</w:t>
      </w:r>
    </w:p>
    <w:p>
      <w:pPr>
        <w:spacing w:after="60"/>
      </w:pPr>
    </w:p>
    <w:p>
      <w:pPr>
        <w:pStyle w:val="ListParagraph"/>
        <w:numPr>
          <w:ilvl w:val="0"/>
          <w:numId w:val="2"/>
        </w:numPr>
        <w:spacing w:after="70" w:line="290"/>
      </w:pPr>
      <w:r>
        <w:rPr>
          <w:sz w:val="20"/>
          <w:szCs w:val="20"/>
        </w:rPr>
        <w:t xml:space="preserve">Items 1 and 3 make this a use variance, not merely a dimensional one — a request to override what the R-1B district is designed to be, stacked with four further dimensional variances.</w:t>
      </w:r>
    </w:p>
    <w:p>
      <w:pPr>
        <w:pStyle w:val="ListParagraph"/>
        <w:numPr>
          <w:ilvl w:val="0"/>
          <w:numId w:val="2"/>
        </w:numPr>
        <w:spacing w:after="70" w:line="290"/>
      </w:pPr>
      <w:r>
        <w:rPr>
          <w:sz w:val="20"/>
          <w:szCs w:val="20"/>
        </w:rPr>
        <w:t xml:space="preserve">R-1B is defined on the zoning review sheet as “Residential One-Family — High Density.” The applicant's memo (p. 11, criterion 2) argues the district's “spirit” is to “provide higher density residential neighborhoods” — but the district's own name specifies one-family housing at higher density, not multifamily buildings.</w:t>
      </w:r>
    </w:p>
    <w:p>
      <w:pPr>
        <w:shd w:fill="8B0000" w:val="clear"/>
        <w:spacing w:after="100" w:before="260"/>
      </w:pPr>
      <w:r>
        <w:rPr>
          <w:b/>
          <w:bCs/>
          <w:color w:val="FFFFFF"/>
          <w:sz w:val="25"/>
          <w:szCs w:val="25"/>
        </w:rPr>
        <w:t xml:space="preserve">  3. SUBSTANTIAL JUSTICE IS DONE — RSA 674:33, I(a)(2)(C)</w:t>
      </w:r>
    </w:p>
    <w:p>
      <w:pPr>
        <w:spacing w:after="60" w:before="100"/>
      </w:pPr>
      <w:r>
        <w:rPr>
          <w:b/>
          <w:bCs/>
          <w:color w:val="8B0000"/>
          <w:sz w:val="20"/>
          <w:szCs w:val="20"/>
        </w:rPr>
        <w:t xml:space="preserve">The legal standard</w:t>
      </w:r>
    </w:p>
    <w:p>
      <w:pPr>
        <w:spacing w:after="90" w:line="300"/>
      </w:pPr>
      <w:r>
        <w:rPr>
          <w:sz w:val="20"/>
          <w:szCs w:val="20"/>
        </w:rPr>
        <w:t xml:space="preserve">“Perhaps the only guiding rule on this factor is that any loss to the individual that is not outweighed by a gain to the general public is an injustice.” </w:t>
      </w:r>
      <w:r>
        <w:rPr>
          <w:i/>
          <w:iCs/>
          <w:sz w:val="20"/>
          <w:szCs w:val="20"/>
        </w:rPr>
        <w:t xml:space="preserve">Malachy Glen Assocs. v. Town of Chichester</w:t>
      </w:r>
      <w:r>
        <w:rPr>
          <w:sz w:val="20"/>
          <w:szCs w:val="20"/>
        </w:rPr>
        <w:t xml:space="preserve">, 155 N.H. 102, 109 (2007). The Board also looks at whether the proposal is consistent with the area’s present use. Id.</w:t>
      </w:r>
    </w:p>
    <w:p>
      <w:pPr>
        <w:spacing w:after="60" w:before="100"/>
      </w:pPr>
      <w:r>
        <w:rPr>
          <w:b/>
          <w:bCs/>
          <w:color w:val="8B0000"/>
          <w:sz w:val="20"/>
          <w:szCs w:val="20"/>
        </w:rPr>
        <w:t xml:space="preserve">The facts</w:t>
      </w:r>
    </w:p>
    <w:p>
      <w:pPr>
        <w:pStyle w:val="ListParagraph"/>
        <w:numPr>
          <w:ilvl w:val="0"/>
          <w:numId w:val="2"/>
        </w:numPr>
        <w:spacing w:after="70" w:line="290"/>
      </w:pPr>
      <w:r>
        <w:rPr>
          <w:sz w:val="20"/>
          <w:szCs w:val="20"/>
        </w:rPr>
        <w:t xml:space="preserve">The applicant's memo (p. 11, criterion 3) bases “substantial justice” explicitly on the applicant's own economic benefit: “The benefits to the applicant in constructing residential which is far more conducive to the property provides substantial justice.” Private profit is not a valid basis for this finding (see Criterion 5).</w:t>
      </w:r>
    </w:p>
    <w:p>
      <w:pPr>
        <w:pStyle w:val="ListParagraph"/>
        <w:numPr>
          <w:ilvl w:val="0"/>
          <w:numId w:val="2"/>
        </w:numPr>
        <w:spacing w:after="70" w:line="290"/>
      </w:pPr>
      <w:r>
        <w:rPr>
          <w:sz w:val="20"/>
          <w:szCs w:val="20"/>
        </w:rPr>
        <w:t xml:space="preserve">There is no real “loss” to weigh in the first place — the applicant's own plans (see Criterion 5) show a fully conforming, profitable 5-lot alternative already exists.</w:t>
      </w:r>
    </w:p>
    <w:p>
      <w:pPr>
        <w:shd w:fill="8B0000" w:val="clear"/>
        <w:spacing w:after="100" w:before="260"/>
      </w:pPr>
      <w:r>
        <w:rPr>
          <w:b/>
          <w:bCs/>
          <w:color w:val="FFFFFF"/>
          <w:sz w:val="25"/>
          <w:szCs w:val="25"/>
        </w:rPr>
        <w:t xml:space="preserve">  4. VALUES OF SURROUNDING PROPERTIES NOT DIMINISHED — RSA 674:33, I(a)(2)(D)</w:t>
      </w:r>
    </w:p>
    <w:p>
      <w:pPr>
        <w:spacing w:after="60" w:before="100"/>
      </w:pPr>
      <w:r>
        <w:rPr>
          <w:b/>
          <w:bCs/>
          <w:color w:val="8B0000"/>
          <w:sz w:val="20"/>
          <w:szCs w:val="20"/>
        </w:rPr>
        <w:t xml:space="preserve">The legal standard</w:t>
      </w:r>
    </w:p>
    <w:p>
      <w:pPr>
        <w:spacing w:after="90" w:line="300"/>
      </w:pPr>
      <w:r>
        <w:rPr>
          <w:sz w:val="20"/>
          <w:szCs w:val="20"/>
        </w:rPr>
        <w:t xml:space="preserve">The applicant bears the burden of showing the variance will not diminish surrounding property values; unsupported assertions are insufficient. See generally </w:t>
      </w:r>
      <w:r>
        <w:rPr>
          <w:i/>
          <w:iCs/>
          <w:sz w:val="20"/>
          <w:szCs w:val="20"/>
        </w:rPr>
        <w:t xml:space="preserve">Governor’s Island Club v. Town of Gilford</w:t>
      </w:r>
      <w:r>
        <w:rPr>
          <w:sz w:val="20"/>
          <w:szCs w:val="20"/>
        </w:rPr>
        <w:t xml:space="preserve">, 124 N.H. 126, 130 (1983).</w:t>
      </w:r>
    </w:p>
    <w:p>
      <w:pPr>
        <w:spacing w:after="60" w:before="100"/>
      </w:pPr>
      <w:r>
        <w:rPr>
          <w:b/>
          <w:bCs/>
          <w:color w:val="8B0000"/>
          <w:sz w:val="20"/>
          <w:szCs w:val="20"/>
        </w:rPr>
        <w:t xml:space="preserve">The facts</w:t>
      </w:r>
    </w:p>
    <w:p>
      <w:pPr>
        <w:pStyle w:val="ListParagraph"/>
        <w:numPr>
          <w:ilvl w:val="0"/>
          <w:numId w:val="2"/>
        </w:numPr>
        <w:spacing w:after="70" w:line="290"/>
      </w:pPr>
      <w:r>
        <w:rPr>
          <w:sz w:val="20"/>
          <w:szCs w:val="20"/>
        </w:rPr>
        <w:t xml:space="preserve">The applicant's memo (p. 12, criterion 4) states only that there is “ample buffering” and the project “would not negatively affect surrounding properties.” No appraisal, market study, or real estate data appears anywhere in the application.</w:t>
      </w:r>
    </w:p>
    <w:p>
      <w:pPr>
        <w:pStyle w:val="ListParagraph"/>
        <w:numPr>
          <w:ilvl w:val="0"/>
          <w:numId w:val="2"/>
        </w:numPr>
        <w:spacing w:after="70" w:line="290"/>
      </w:pPr>
      <w:r>
        <w:rPr>
          <w:sz w:val="20"/>
          <w:szCs w:val="20"/>
        </w:rPr>
        <w:t xml:space="preserve">Every abutting lot is currently single-family; a 3-story, 13-unit complex is a direct change to the immediate streetscape's character that the applicant's memo doesn't quantify.</w:t>
      </w:r>
    </w:p>
    <w:p>
      <w:pPr>
        <w:pStyle w:val="ListParagraph"/>
        <w:numPr>
          <w:ilvl w:val="0"/>
          <w:numId w:val="2"/>
        </w:numPr>
        <w:spacing w:after="70" w:line="290"/>
      </w:pPr>
      <w:r>
        <w:rPr>
          <w:sz w:val="20"/>
          <w:szCs w:val="20"/>
        </w:rPr>
        <w:t xml:space="preserve">Optional, lower-certainty point: the Court has referenced but never formally adopted a “cumulative effect” concept for weighing multiple nearby developments together — Bacon v. Town of Enfield (2004). Given the existing 96-unit complex across the street, this could support an argument about concentrated density at one intersection, though it carries less settled legal weight.</w:t>
      </w:r>
    </w:p>
    <w:p>
      <w:pPr>
        <w:shd w:fill="8B0000" w:val="clear"/>
        <w:spacing w:after="100" w:before="260"/>
      </w:pPr>
      <w:r>
        <w:rPr>
          <w:b/>
          <w:bCs/>
          <w:color w:val="FFFFFF"/>
          <w:sz w:val="25"/>
          <w:szCs w:val="25"/>
        </w:rPr>
        <w:t xml:space="preserve">  5. UNNECESSARY HARDSHIP — RSA 674:33, I(a)(2)(E), defined at I(b)(1)–(3)</w:t>
      </w:r>
    </w:p>
    <w:p>
      <w:pPr>
        <w:spacing w:after="60" w:before="100"/>
      </w:pPr>
      <w:r>
        <w:rPr>
          <w:b/>
          <w:bCs/>
          <w:color w:val="8B0000"/>
          <w:sz w:val="20"/>
          <w:szCs w:val="20"/>
        </w:rPr>
        <w:t xml:space="preserve">The legal standard</w:t>
      </w:r>
    </w:p>
    <w:p>
      <w:pPr>
        <w:spacing w:after="90" w:line="300"/>
      </w:pPr>
      <w:r>
        <w:rPr>
          <w:sz w:val="20"/>
          <w:szCs w:val="20"/>
        </w:rPr>
        <w:t xml:space="preserve">Requires EITHER (A)(i) “no fair and substantial relationship exists between the general public purposes of the ordinance provision and the specific application of that provision to the property,” AND (ii) “the proposed use is a reasonable one” — RSA 674:33, I(b)(1); OR (B) if (A) isn’t established, the property “cannot be reasonably used in strict conformance with the ordinance, and a variance is therefore necessary to enable a reasonable use of it” — RSA 674:33, I(b)(2). Applies identically to use and dimensional variances — I(b)(3). This unified test originates in </w:t>
      </w:r>
      <w:r>
        <w:rPr>
          <w:i/>
          <w:iCs/>
          <w:sz w:val="20"/>
          <w:szCs w:val="20"/>
        </w:rPr>
        <w:t xml:space="preserve">Simplex Technologies, Inc. v. Town of Newington</w:t>
      </w:r>
      <w:r>
        <w:rPr>
          <w:sz w:val="20"/>
          <w:szCs w:val="20"/>
        </w:rPr>
        <w:t xml:space="preserve">, 145 N.H. 727 (2001), later codified by the legislature in 2010.</w:t>
      </w:r>
    </w:p>
    <w:p>
      <w:pPr>
        <w:spacing w:after="90" w:line="300"/>
      </w:pPr>
      <w:r>
        <w:rPr>
          <w:b/>
          <w:bCs/>
          <w:sz w:val="20"/>
          <w:szCs w:val="20"/>
        </w:rPr>
        <w:t xml:space="preserve">Financial or economic hardship is not, by itself, sufficient to establish unnecessary hardship. </w:t>
      </w:r>
      <w:r>
        <w:rPr>
          <w:i/>
          <w:iCs/>
          <w:sz w:val="20"/>
          <w:szCs w:val="20"/>
        </w:rPr>
        <w:t xml:space="preserve">Olszak v. Town of New Hampton</w:t>
      </w:r>
      <w:r>
        <w:rPr>
          <w:sz w:val="20"/>
          <w:szCs w:val="20"/>
        </w:rPr>
        <w:t xml:space="preserve">, 139 N.H. 723, 726 (1995); </w:t>
      </w:r>
      <w:r>
        <w:rPr>
          <w:i/>
          <w:iCs/>
          <w:sz w:val="20"/>
          <w:szCs w:val="20"/>
        </w:rPr>
        <w:t xml:space="preserve">Governor’s Island Club v. Town of Gilford</w:t>
      </w:r>
      <w:r>
        <w:rPr>
          <w:sz w:val="20"/>
          <w:szCs w:val="20"/>
        </w:rPr>
        <w:t xml:space="preserve">, 124 N.H. 126, 130 (1983). Nor do personal circumstances of the landowner establish hardship — </w:t>
      </w:r>
      <w:r>
        <w:rPr>
          <w:i/>
          <w:iCs/>
          <w:sz w:val="20"/>
          <w:szCs w:val="20"/>
        </w:rPr>
        <w:t xml:space="preserve">Ryan v. City of Manchester</w:t>
      </w:r>
      <w:r>
        <w:rPr>
          <w:sz w:val="20"/>
          <w:szCs w:val="20"/>
        </w:rPr>
        <w:t xml:space="preserve">, 123 N.H. 170, 174 (1983) (landowner’s own health problems did not justify a home-business variance).</w:t>
      </w:r>
    </w:p>
    <w:p>
      <w:pPr>
        <w:spacing w:after="60" w:before="100"/>
      </w:pPr>
      <w:r>
        <w:rPr>
          <w:b/>
          <w:bCs/>
          <w:color w:val="8B0000"/>
          <w:sz w:val="20"/>
          <w:szCs w:val="20"/>
        </w:rPr>
        <w:t xml:space="preserve">The facts — the applicant's own By-Right Subdivision Plan (case file p. 15, prepared by The Dubay Group, dated May 21, 2026)</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200"/>
        <w:gridCol w:w="3200"/>
        <w:gridCol w:w="3200"/>
      </w:tblGrid>
      <w:tr>
        <w:tc>
          <w:tcPr>
            <w:tcW w:type="dxa" w:w="3200"/>
            <w:shd w:fill="8B0000" w:val="clear"/>
            <w:tcMar>
              <w:top w:type="dxa" w:w="60"/>
              <w:left w:type="dxa" w:w="100"/>
              <w:bottom w:type="dxa" w:w="60"/>
              <w:right w:type="dxa" w:w="100"/>
            </w:tcMar>
          </w:tcPr>
          <w:p>
            <w:pPr>
              <w:jc w:val="center"/>
            </w:pPr>
            <w:r>
              <w:rPr>
                <w:b/>
                <w:bCs/>
                <w:color w:val="FFFFFF"/>
                <w:sz w:val="18"/>
                <w:szCs w:val="18"/>
              </w:rPr>
              <w:t xml:space="preserve">Lot</w:t>
            </w:r>
          </w:p>
        </w:tc>
        <w:tc>
          <w:tcPr>
            <w:tcW w:type="dxa" w:w="3200"/>
            <w:shd w:fill="8B0000" w:val="clear"/>
            <w:tcMar>
              <w:top w:type="dxa" w:w="60"/>
              <w:left w:type="dxa" w:w="100"/>
              <w:bottom w:type="dxa" w:w="60"/>
              <w:right w:type="dxa" w:w="100"/>
            </w:tcMar>
          </w:tcPr>
          <w:p>
            <w:pPr>
              <w:jc w:val="center"/>
            </w:pPr>
            <w:r>
              <w:rPr>
                <w:b/>
                <w:bCs/>
                <w:color w:val="FFFFFF"/>
                <w:sz w:val="18"/>
                <w:szCs w:val="18"/>
              </w:rPr>
              <w:t xml:space="preserve">Total Area</w:t>
            </w:r>
          </w:p>
        </w:tc>
        <w:tc>
          <w:tcPr>
            <w:tcW w:type="dxa" w:w="3200"/>
            <w:shd w:fill="8B0000" w:val="clear"/>
            <w:tcMar>
              <w:top w:type="dxa" w:w="60"/>
              <w:left w:type="dxa" w:w="100"/>
              <w:bottom w:type="dxa" w:w="60"/>
              <w:right w:type="dxa" w:w="100"/>
            </w:tcMar>
          </w:tcPr>
          <w:p>
            <w:pPr>
              <w:jc w:val="center"/>
            </w:pPr>
            <w:r>
              <w:rPr>
                <w:b/>
                <w:bCs/>
                <w:color w:val="FFFFFF"/>
                <w:sz w:val="18"/>
                <w:szCs w:val="18"/>
              </w:rPr>
              <w:t xml:space="preserve">Buildable Area</w:t>
            </w:r>
          </w:p>
        </w:tc>
      </w:tr>
      <w:tr>
        <w:tc>
          <w:tcPr>
            <w:tcW w:type="dxa" w:w="3200"/>
            <w:tcMar>
              <w:top w:type="dxa" w:w="50"/>
              <w:left w:type="dxa" w:w="100"/>
              <w:bottom w:type="dxa" w:w="50"/>
              <w:right w:type="dxa" w:w="100"/>
            </w:tcMar>
          </w:tcPr>
          <w:p>
            <w:pPr>
              <w:jc w:val="center"/>
            </w:pPr>
            <w:r>
              <w:rPr>
                <w:b w:val="false"/>
                <w:bCs w:val="false"/>
                <w:sz w:val="18"/>
                <w:szCs w:val="18"/>
              </w:rPr>
              <w:t xml:space="preserve">Proposed Lot 1</w:t>
            </w:r>
          </w:p>
        </w:tc>
        <w:tc>
          <w:tcPr>
            <w:tcW w:type="dxa" w:w="3200"/>
            <w:tcMar>
              <w:top w:type="dxa" w:w="50"/>
              <w:left w:type="dxa" w:w="100"/>
              <w:bottom w:type="dxa" w:w="50"/>
              <w:right w:type="dxa" w:w="100"/>
            </w:tcMar>
          </w:tcPr>
          <w:p>
            <w:pPr>
              <w:jc w:val="center"/>
            </w:pPr>
            <w:r>
              <w:rPr>
                <w:b w:val="false"/>
                <w:bCs w:val="false"/>
                <w:sz w:val="18"/>
                <w:szCs w:val="18"/>
              </w:rPr>
              <w:t xml:space="preserve">8,918 SF</w:t>
            </w:r>
          </w:p>
        </w:tc>
        <w:tc>
          <w:tcPr>
            <w:tcW w:type="dxa" w:w="3200"/>
            <w:tcMar>
              <w:top w:type="dxa" w:w="50"/>
              <w:left w:type="dxa" w:w="100"/>
              <w:bottom w:type="dxa" w:w="50"/>
              <w:right w:type="dxa" w:w="100"/>
            </w:tcMar>
          </w:tcPr>
          <w:p>
            <w:pPr>
              <w:jc w:val="center"/>
            </w:pPr>
            <w:r>
              <w:rPr>
                <w:b w:val="false"/>
                <w:bCs w:val="false"/>
                <w:sz w:val="18"/>
                <w:szCs w:val="18"/>
              </w:rPr>
              <w:t xml:space="preserve">6,000 SF</w:t>
            </w:r>
          </w:p>
        </w:tc>
      </w:tr>
      <w:tr>
        <w:tc>
          <w:tcPr>
            <w:tcW w:type="dxa" w:w="3200"/>
            <w:tcMar>
              <w:top w:type="dxa" w:w="50"/>
              <w:left w:type="dxa" w:w="100"/>
              <w:bottom w:type="dxa" w:w="50"/>
              <w:right w:type="dxa" w:w="100"/>
            </w:tcMar>
          </w:tcPr>
          <w:p>
            <w:pPr>
              <w:jc w:val="center"/>
            </w:pPr>
            <w:r>
              <w:rPr>
                <w:b w:val="false"/>
                <w:bCs w:val="false"/>
                <w:sz w:val="18"/>
                <w:szCs w:val="18"/>
              </w:rPr>
              <w:t xml:space="preserve">Proposed Lot 2</w:t>
            </w:r>
          </w:p>
        </w:tc>
        <w:tc>
          <w:tcPr>
            <w:tcW w:type="dxa" w:w="3200"/>
            <w:tcMar>
              <w:top w:type="dxa" w:w="50"/>
              <w:left w:type="dxa" w:w="100"/>
              <w:bottom w:type="dxa" w:w="50"/>
              <w:right w:type="dxa" w:w="100"/>
            </w:tcMar>
          </w:tcPr>
          <w:p>
            <w:pPr>
              <w:jc w:val="center"/>
            </w:pPr>
            <w:r>
              <w:rPr>
                <w:b w:val="false"/>
                <w:bCs w:val="false"/>
                <w:sz w:val="18"/>
                <w:szCs w:val="18"/>
              </w:rPr>
              <w:t xml:space="preserve">8,185 SF</w:t>
            </w:r>
          </w:p>
        </w:tc>
        <w:tc>
          <w:tcPr>
            <w:tcW w:type="dxa" w:w="3200"/>
            <w:tcMar>
              <w:top w:type="dxa" w:w="50"/>
              <w:left w:type="dxa" w:w="100"/>
              <w:bottom w:type="dxa" w:w="50"/>
              <w:right w:type="dxa" w:w="100"/>
            </w:tcMar>
          </w:tcPr>
          <w:p>
            <w:pPr>
              <w:jc w:val="center"/>
            </w:pPr>
            <w:r>
              <w:rPr>
                <w:b w:val="false"/>
                <w:bCs w:val="false"/>
                <w:sz w:val="18"/>
                <w:szCs w:val="18"/>
              </w:rPr>
              <w:t xml:space="preserve">6,110 SF</w:t>
            </w:r>
          </w:p>
        </w:tc>
      </w:tr>
      <w:tr>
        <w:tc>
          <w:tcPr>
            <w:tcW w:type="dxa" w:w="3200"/>
            <w:tcMar>
              <w:top w:type="dxa" w:w="50"/>
              <w:left w:type="dxa" w:w="100"/>
              <w:bottom w:type="dxa" w:w="50"/>
              <w:right w:type="dxa" w:w="100"/>
            </w:tcMar>
          </w:tcPr>
          <w:p>
            <w:pPr>
              <w:jc w:val="center"/>
            </w:pPr>
            <w:r>
              <w:rPr>
                <w:b w:val="false"/>
                <w:bCs w:val="false"/>
                <w:sz w:val="18"/>
                <w:szCs w:val="18"/>
              </w:rPr>
              <w:t xml:space="preserve">Proposed Lot 3</w:t>
            </w:r>
          </w:p>
        </w:tc>
        <w:tc>
          <w:tcPr>
            <w:tcW w:type="dxa" w:w="3200"/>
            <w:tcMar>
              <w:top w:type="dxa" w:w="50"/>
              <w:left w:type="dxa" w:w="100"/>
              <w:bottom w:type="dxa" w:w="50"/>
              <w:right w:type="dxa" w:w="100"/>
            </w:tcMar>
          </w:tcPr>
          <w:p>
            <w:pPr>
              <w:jc w:val="center"/>
            </w:pPr>
            <w:r>
              <w:rPr>
                <w:b w:val="false"/>
                <w:bCs w:val="false"/>
                <w:sz w:val="18"/>
                <w:szCs w:val="18"/>
              </w:rPr>
              <w:t xml:space="preserve">7,456 SF</w:t>
            </w:r>
          </w:p>
        </w:tc>
        <w:tc>
          <w:tcPr>
            <w:tcW w:type="dxa" w:w="3200"/>
            <w:tcMar>
              <w:top w:type="dxa" w:w="50"/>
              <w:left w:type="dxa" w:w="100"/>
              <w:bottom w:type="dxa" w:w="50"/>
              <w:right w:type="dxa" w:w="100"/>
            </w:tcMar>
          </w:tcPr>
          <w:p>
            <w:pPr>
              <w:jc w:val="center"/>
            </w:pPr>
            <w:r>
              <w:rPr>
                <w:b w:val="false"/>
                <w:bCs w:val="false"/>
                <w:sz w:val="18"/>
                <w:szCs w:val="18"/>
              </w:rPr>
              <w:t xml:space="preserve">6,083 SF</w:t>
            </w:r>
          </w:p>
        </w:tc>
      </w:tr>
      <w:tr>
        <w:tc>
          <w:tcPr>
            <w:tcW w:type="dxa" w:w="3200"/>
            <w:tcMar>
              <w:top w:type="dxa" w:w="50"/>
              <w:left w:type="dxa" w:w="100"/>
              <w:bottom w:type="dxa" w:w="50"/>
              <w:right w:type="dxa" w:w="100"/>
            </w:tcMar>
          </w:tcPr>
          <w:p>
            <w:pPr>
              <w:jc w:val="center"/>
            </w:pPr>
            <w:r>
              <w:rPr>
                <w:b w:val="false"/>
                <w:bCs w:val="false"/>
                <w:sz w:val="18"/>
                <w:szCs w:val="18"/>
              </w:rPr>
              <w:t xml:space="preserve">Proposed Lot 4</w:t>
            </w:r>
          </w:p>
        </w:tc>
        <w:tc>
          <w:tcPr>
            <w:tcW w:type="dxa" w:w="3200"/>
            <w:tcMar>
              <w:top w:type="dxa" w:w="50"/>
              <w:left w:type="dxa" w:w="100"/>
              <w:bottom w:type="dxa" w:w="50"/>
              <w:right w:type="dxa" w:w="100"/>
            </w:tcMar>
          </w:tcPr>
          <w:p>
            <w:pPr>
              <w:jc w:val="center"/>
            </w:pPr>
            <w:r>
              <w:rPr>
                <w:b w:val="false"/>
                <w:bCs w:val="false"/>
                <w:sz w:val="18"/>
                <w:szCs w:val="18"/>
              </w:rPr>
              <w:t xml:space="preserve">7,422 SF</w:t>
            </w:r>
          </w:p>
        </w:tc>
        <w:tc>
          <w:tcPr>
            <w:tcW w:type="dxa" w:w="3200"/>
            <w:tcMar>
              <w:top w:type="dxa" w:w="50"/>
              <w:left w:type="dxa" w:w="100"/>
              <w:bottom w:type="dxa" w:w="50"/>
              <w:right w:type="dxa" w:w="100"/>
            </w:tcMar>
          </w:tcPr>
          <w:p>
            <w:pPr>
              <w:jc w:val="center"/>
            </w:pPr>
            <w:r>
              <w:rPr>
                <w:b w:val="false"/>
                <w:bCs w:val="false"/>
                <w:sz w:val="18"/>
                <w:szCs w:val="18"/>
              </w:rPr>
              <w:t xml:space="preserve">6,076 SF</w:t>
            </w:r>
          </w:p>
        </w:tc>
      </w:tr>
      <w:tr>
        <w:tc>
          <w:tcPr>
            <w:tcW w:type="dxa" w:w="3200"/>
            <w:tcMar>
              <w:top w:type="dxa" w:w="50"/>
              <w:left w:type="dxa" w:w="100"/>
              <w:bottom w:type="dxa" w:w="50"/>
              <w:right w:type="dxa" w:w="100"/>
            </w:tcMar>
          </w:tcPr>
          <w:p>
            <w:pPr>
              <w:jc w:val="center"/>
            </w:pPr>
            <w:r>
              <w:rPr>
                <w:b w:val="false"/>
                <w:bCs w:val="false"/>
                <w:sz w:val="18"/>
                <w:szCs w:val="18"/>
              </w:rPr>
              <w:t xml:space="preserve">Proposed Lot 5</w:t>
            </w:r>
          </w:p>
        </w:tc>
        <w:tc>
          <w:tcPr>
            <w:tcW w:type="dxa" w:w="3200"/>
            <w:tcMar>
              <w:top w:type="dxa" w:w="50"/>
              <w:left w:type="dxa" w:w="100"/>
              <w:bottom w:type="dxa" w:w="50"/>
              <w:right w:type="dxa" w:w="100"/>
            </w:tcMar>
          </w:tcPr>
          <w:p>
            <w:pPr>
              <w:jc w:val="center"/>
            </w:pPr>
            <w:r>
              <w:rPr>
                <w:b w:val="false"/>
                <w:bCs w:val="false"/>
                <w:sz w:val="18"/>
                <w:szCs w:val="18"/>
              </w:rPr>
              <w:t xml:space="preserve">28,425 SF</w:t>
            </w:r>
          </w:p>
        </w:tc>
        <w:tc>
          <w:tcPr>
            <w:tcW w:type="dxa" w:w="3200"/>
            <w:tcMar>
              <w:top w:type="dxa" w:w="50"/>
              <w:left w:type="dxa" w:w="100"/>
              <w:bottom w:type="dxa" w:w="50"/>
              <w:right w:type="dxa" w:w="100"/>
            </w:tcMar>
          </w:tcPr>
          <w:p>
            <w:pPr>
              <w:jc w:val="center"/>
            </w:pPr>
            <w:r>
              <w:rPr>
                <w:b w:val="false"/>
                <w:bCs w:val="false"/>
                <w:sz w:val="18"/>
                <w:szCs w:val="18"/>
              </w:rPr>
              <w:t xml:space="preserve">25,215 SF</w:t>
            </w:r>
          </w:p>
        </w:tc>
      </w:tr>
    </w:tbl>
    <w:p>
      <w:pPr>
        <w:spacing w:after="100"/>
      </w:pPr>
    </w:p>
    <w:p>
      <w:pPr>
        <w:pStyle w:val="ListParagraph"/>
        <w:numPr>
          <w:ilvl w:val="0"/>
          <w:numId w:val="2"/>
        </w:numPr>
        <w:spacing w:after="70" w:line="290"/>
      </w:pPr>
      <w:r>
        <w:rPr>
          <w:sz w:val="20"/>
          <w:szCs w:val="20"/>
        </w:rPr>
        <w:t xml:space="preserve">The applicant's own memo (p. 11, criterion 3) states outright: “The property can support five (5) single family home lots meeting the underlying zoning.” A direct admission that a fully conforming, reasonable use exists without any variance.</w:t>
      </w:r>
    </w:p>
    <w:p>
      <w:pPr>
        <w:pStyle w:val="ListParagraph"/>
        <w:numPr>
          <w:ilvl w:val="0"/>
          <w:numId w:val="2"/>
        </w:numPr>
        <w:spacing w:after="70" w:line="290"/>
      </w:pPr>
      <w:r>
        <w:rPr>
          <w:sz w:val="20"/>
          <w:szCs w:val="20"/>
        </w:rPr>
        <w:t xml:space="preserve">Their stated reasons for preferring the townhouse version are convenience, not hardship: four of five lots would need separate curb cuts on Calef Road; the site would need grading “built” into the slope for the single-family option; and, again, “the benefits to the applicant.”</w:t>
      </w:r>
    </w:p>
    <w:p>
      <w:pPr>
        <w:pStyle w:val="ListParagraph"/>
        <w:numPr>
          <w:ilvl w:val="0"/>
          <w:numId w:val="2"/>
        </w:numPr>
        <w:spacing w:after="70" w:line="290"/>
      </w:pPr>
      <w:r>
        <w:rPr>
          <w:sz w:val="20"/>
          <w:szCs w:val="20"/>
        </w:rPr>
        <w:t xml:space="preserve">Neither branch of the statutory test is satisfied: (A)(i) fails because the lot-area and density limits bear an obvious relationship to their purpose here (controlling density and traffic on a residential corner); (B) fails because the property plainly can be reasonably used in strict conformance — the applicant's own engineer drew the plan proving it.</w:t>
      </w:r>
    </w:p>
    <w:p>
      <w:pPr>
        <w:shd w:fill="8B0000" w:val="clear"/>
        <w:spacing w:after="100" w:before="260"/>
      </w:pPr>
      <w:r>
        <w:rPr>
          <w:b/>
          <w:bCs/>
          <w:color w:val="FFFFFF"/>
          <w:sz w:val="25"/>
          <w:szCs w:val="25"/>
        </w:rPr>
        <w:t xml:space="preserve">  A. APPENDIX — QUICK CASE LAW INDEX</w:t>
      </w:r>
    </w:p>
    <w:p>
      <w:pPr>
        <w:pStyle w:val="ListParagraph"/>
        <w:numPr>
          <w:ilvl w:val="0"/>
          <w:numId w:val="2"/>
        </w:numPr>
        <w:spacing w:after="70" w:line="290"/>
      </w:pPr>
      <w:r>
        <w:rPr>
          <w:sz w:val="20"/>
          <w:szCs w:val="20"/>
        </w:rPr>
        <w:t xml:space="preserve">RSA 674:33, I(a)(2)(A)–(E) — the five statutory criteria</w:t>
      </w:r>
    </w:p>
    <w:p>
      <w:pPr>
        <w:pStyle w:val="ListParagraph"/>
        <w:numPr>
          <w:ilvl w:val="0"/>
          <w:numId w:val="2"/>
        </w:numPr>
        <w:spacing w:after="70" w:line="290"/>
      </w:pPr>
      <w:r>
        <w:rPr>
          <w:sz w:val="20"/>
          <w:szCs w:val="20"/>
        </w:rPr>
        <w:t xml:space="preserve">RSA 674:33, I(b)(1)–(3) — definition of unnecessary hardship</w:t>
      </w:r>
    </w:p>
    <w:p>
      <w:pPr>
        <w:pStyle w:val="ListParagraph"/>
        <w:numPr>
          <w:ilvl w:val="0"/>
          <w:numId w:val="2"/>
        </w:numPr>
        <w:spacing w:after="70" w:line="290"/>
      </w:pPr>
      <w:r>
        <w:rPr>
          <w:sz w:val="20"/>
          <w:szCs w:val="20"/>
        </w:rPr>
        <w:t xml:space="preserve">Simplex Technologies, Inc. v. Town of Newington, 145 N.H. 727 (2001) — unified hardship standard, later codified</w:t>
      </w:r>
    </w:p>
    <w:p>
      <w:pPr>
        <w:pStyle w:val="ListParagraph"/>
        <w:numPr>
          <w:ilvl w:val="0"/>
          <w:numId w:val="2"/>
        </w:numPr>
        <w:spacing w:after="70" w:line="290"/>
      </w:pPr>
      <w:r>
        <w:rPr>
          <w:sz w:val="20"/>
          <w:szCs w:val="20"/>
        </w:rPr>
        <w:t xml:space="preserve">Olszak v. Town of New Hampton, 139 N.H. 723, 726 (1995) — financial hardship insufficient alone</w:t>
      </w:r>
    </w:p>
    <w:p>
      <w:pPr>
        <w:pStyle w:val="ListParagraph"/>
        <w:numPr>
          <w:ilvl w:val="0"/>
          <w:numId w:val="2"/>
        </w:numPr>
        <w:spacing w:after="70" w:line="290"/>
      </w:pPr>
      <w:r>
        <w:rPr>
          <w:sz w:val="20"/>
          <w:szCs w:val="20"/>
        </w:rPr>
        <w:t xml:space="preserve">Governor’s Island Club v. Town of Gilford, 124 N.H. 126, 130 (1983) — same principle, earlier case</w:t>
      </w:r>
    </w:p>
    <w:p>
      <w:pPr>
        <w:pStyle w:val="ListParagraph"/>
        <w:numPr>
          <w:ilvl w:val="0"/>
          <w:numId w:val="2"/>
        </w:numPr>
        <w:spacing w:after="70" w:line="290"/>
      </w:pPr>
      <w:r>
        <w:rPr>
          <w:sz w:val="20"/>
          <w:szCs w:val="20"/>
        </w:rPr>
        <w:t xml:space="preserve">Ryan v. City of Manchester, 123 N.H. 170, 174 (1983) — personal circumstances ≠ hardship</w:t>
      </w:r>
    </w:p>
    <w:p>
      <w:pPr>
        <w:pStyle w:val="ListParagraph"/>
        <w:numPr>
          <w:ilvl w:val="0"/>
          <w:numId w:val="2"/>
        </w:numPr>
        <w:spacing w:after="70" w:line="290"/>
      </w:pPr>
      <w:r>
        <w:rPr>
          <w:sz w:val="20"/>
          <w:szCs w:val="20"/>
        </w:rPr>
        <w:t xml:space="preserve">Chester Rod &amp; Gun Club v. Town of Chester, 152 N.H. 577, 581 (2005) — “unduly, in a marked degree” test</w:t>
      </w:r>
    </w:p>
    <w:p>
      <w:pPr>
        <w:pStyle w:val="ListParagraph"/>
        <w:numPr>
          <w:ilvl w:val="0"/>
          <w:numId w:val="2"/>
        </w:numPr>
        <w:spacing w:after="70" w:line="290"/>
      </w:pPr>
      <w:r>
        <w:rPr>
          <w:sz w:val="20"/>
          <w:szCs w:val="20"/>
        </w:rPr>
        <w:t xml:space="preserve">Harborside Assocs. v. Parade Residence Hotel, 162 N.H. 508, 514 (2011) — applies test under current statute</w:t>
      </w:r>
    </w:p>
    <w:p>
      <w:pPr>
        <w:pStyle w:val="ListParagraph"/>
        <w:numPr>
          <w:ilvl w:val="0"/>
          <w:numId w:val="2"/>
        </w:numPr>
        <w:spacing w:after="70" w:line="290"/>
      </w:pPr>
      <w:r>
        <w:rPr>
          <w:sz w:val="20"/>
          <w:szCs w:val="20"/>
        </w:rPr>
        <w:t xml:space="preserve">Malachy Glen Assocs. v. Town of Chichester, 155 N.H. 102 (2007) — public interest/spirit test; substantial justice test</w:t>
      </w:r>
    </w:p>
    <w:p>
      <w:pPr>
        <w:pStyle w:val="ListParagraph"/>
        <w:numPr>
          <w:ilvl w:val="0"/>
          <w:numId w:val="2"/>
        </w:numPr>
        <w:spacing w:after="70" w:line="290"/>
      </w:pPr>
      <w:r>
        <w:rPr>
          <w:sz w:val="20"/>
          <w:szCs w:val="20"/>
        </w:rPr>
        <w:t xml:space="preserve">Boccia v. City of Portsmouth, 151 N.H. 85 (2004) — recognized the use/area variance distinction, since unified by RSA 674:33, I(b)(3)</w:t>
      </w:r>
    </w:p>
    <w:p>
      <w:pPr>
        <w:pStyle w:val="ListParagraph"/>
        <w:numPr>
          <w:ilvl w:val="0"/>
          <w:numId w:val="2"/>
        </w:numPr>
        <w:spacing w:after="70" w:line="290"/>
      </w:pPr>
      <w:r>
        <w:rPr>
          <w:sz w:val="20"/>
          <w:szCs w:val="20"/>
        </w:rPr>
        <w:t xml:space="preserve">Bacon v. Town of Enfield (2004) — “cumulative effect,” referenced but not formally adopted by the NH Supreme Court</w:t>
      </w:r>
    </w:p>
    <w:p>
      <w:pPr>
        <w:shd w:fill="8B0000" w:val="clear"/>
        <w:spacing w:after="100" w:before="260"/>
      </w:pPr>
      <w:r>
        <w:rPr>
          <w:b/>
          <w:bCs/>
          <w:color w:val="FFFFFF"/>
          <w:sz w:val="25"/>
          <w:szCs w:val="25"/>
        </w:rPr>
        <w:t xml:space="preserve">  B. APPENDIX — MANCHESTER ORDINANCE &amp; REGULATION CITATIONS</w:t>
      </w:r>
    </w:p>
    <w:p>
      <w:pPr>
        <w:pStyle w:val="ListParagraph"/>
        <w:numPr>
          <w:ilvl w:val="0"/>
          <w:numId w:val="2"/>
        </w:numPr>
        <w:spacing w:after="70" w:line="290"/>
      </w:pPr>
      <w:r>
        <w:rPr>
          <w:sz w:val="20"/>
          <w:szCs w:val="20"/>
        </w:rPr>
        <w:t xml:space="preserve">Zoning Ordinance §4.3-A.1.C, §5.3.1.E, §5.3.1.E.5.B/C, §8.1.2, §8.7.2.F.2 — the six sections currently sought at the September 10, 2026 hearing. (The original denial letter and August hearing notice cited three additional sections — §5.6.5.D, §8.1.4, §8.2.4-A — resolved by a subsequent plan revision and confirmed by Planning &amp; Community Development as no longer pursued.)</w:t>
      </w:r>
    </w:p>
    <w:p>
      <w:pPr>
        <w:pStyle w:val="ListParagraph"/>
        <w:numPr>
          <w:ilvl w:val="0"/>
          <w:numId w:val="2"/>
        </w:numPr>
        <w:spacing w:after="70" w:line="290"/>
      </w:pPr>
      <w:r>
        <w:rPr>
          <w:sz w:val="20"/>
          <w:szCs w:val="20"/>
        </w:rPr>
        <w:t xml:space="preserve">Subdivision &amp; Site Plan Review Regs §4.3(A) — complete-application requirement; written waiver required to omit any checklist item</w:t>
      </w:r>
    </w:p>
    <w:p>
      <w:pPr>
        <w:pStyle w:val="ListParagraph"/>
        <w:numPr>
          <w:ilvl w:val="0"/>
          <w:numId w:val="2"/>
        </w:numPr>
        <w:spacing w:after="70" w:line="290"/>
      </w:pPr>
      <w:r>
        <w:rPr>
          <w:sz w:val="20"/>
          <w:szCs w:val="20"/>
        </w:rPr>
        <w:t xml:space="preserve">§8.4(B) — Storm Drainage (site plan track, not §6.4 which governs subdivisions)</w:t>
      </w:r>
    </w:p>
    <w:p>
      <w:pPr>
        <w:pStyle w:val="ListParagraph"/>
        <w:numPr>
          <w:ilvl w:val="0"/>
          <w:numId w:val="2"/>
        </w:numPr>
        <w:spacing w:after="70" w:line="290"/>
      </w:pPr>
      <w:r>
        <w:rPr>
          <w:sz w:val="20"/>
          <w:szCs w:val="20"/>
        </w:rPr>
        <w:t xml:space="preserve">§9.1(A)(1)–(3) — Traffic Impact Studies, tiered by project size</w:t>
      </w:r>
    </w:p>
    <w:p>
      <w:pPr>
        <w:pStyle w:val="ListParagraph"/>
        <w:numPr>
          <w:ilvl w:val="0"/>
          <w:numId w:val="2"/>
        </w:numPr>
        <w:spacing w:after="70" w:line="290"/>
      </w:pPr>
      <w:r>
        <w:rPr>
          <w:sz w:val="20"/>
          <w:szCs w:val="20"/>
        </w:rPr>
        <w:t xml:space="preserve">§9.2 — Soil Studies</w:t>
      </w:r>
    </w:p>
    <w:p>
      <w:pPr>
        <w:shd w:fill="8B0000" w:val="clear"/>
        <w:spacing w:after="100" w:before="260"/>
      </w:pPr>
      <w:r>
        <w:rPr>
          <w:b/>
          <w:bCs/>
          <w:color w:val="FFFFFF"/>
          <w:sz w:val="25"/>
          <w:szCs w:val="25"/>
        </w:rPr>
        <w:t xml:space="preserve">  C. APPENDIX — PROCEDURAL GAPS: MISSING FROM THE APPLICATION</w:t>
      </w:r>
    </w:p>
    <w:p>
      <w:pPr>
        <w:pStyle w:val="ListParagraph"/>
        <w:numPr>
          <w:ilvl w:val="0"/>
          <w:numId w:val="2"/>
        </w:numPr>
        <w:spacing w:after="70" w:line="290"/>
      </w:pPr>
      <w:r>
        <w:rPr>
          <w:sz w:val="20"/>
          <w:szCs w:val="20"/>
        </w:rPr>
        <w:t xml:space="preserve">Traffic-impact letter or study (§9.1)</w:t>
      </w:r>
    </w:p>
    <w:p>
      <w:pPr>
        <w:pStyle w:val="ListParagraph"/>
        <w:numPr>
          <w:ilvl w:val="0"/>
          <w:numId w:val="2"/>
        </w:numPr>
        <w:spacing w:after="70" w:line="290"/>
      </w:pPr>
      <w:r>
        <w:rPr>
          <w:sz w:val="20"/>
          <w:szCs w:val="20"/>
        </w:rPr>
        <w:t xml:space="preserve">Drainage plan demonstrating stormwater compliance (§8.4)</w:t>
      </w:r>
    </w:p>
    <w:p>
      <w:pPr>
        <w:pStyle w:val="ListParagraph"/>
        <w:numPr>
          <w:ilvl w:val="0"/>
          <w:numId w:val="2"/>
        </w:numPr>
        <w:spacing w:after="70" w:line="290"/>
      </w:pPr>
      <w:r>
        <w:rPr>
          <w:sz w:val="20"/>
          <w:szCs w:val="20"/>
        </w:rPr>
        <w:t xml:space="preserve">Utilities Plan for sewer &amp; water impact (required site plan checklist item)</w:t>
      </w:r>
    </w:p>
    <w:p>
      <w:pPr>
        <w:pStyle w:val="ListParagraph"/>
        <w:numPr>
          <w:ilvl w:val="0"/>
          <w:numId w:val="2"/>
        </w:numPr>
        <w:spacing w:after="70" w:line="290"/>
      </w:pPr>
      <w:r>
        <w:rPr>
          <w:sz w:val="20"/>
          <w:szCs w:val="20"/>
        </w:rPr>
        <w:t xml:space="preserve">Soil Study (§9.2)</w:t>
      </w:r>
    </w:p>
    <w:p>
      <w:pPr>
        <w:pStyle w:val="ListParagraph"/>
        <w:numPr>
          <w:ilvl w:val="0"/>
          <w:numId w:val="2"/>
        </w:numPr>
        <w:spacing w:after="70" w:line="290"/>
      </w:pPr>
      <w:r>
        <w:rPr>
          <w:sz w:val="20"/>
          <w:szCs w:val="20"/>
        </w:rPr>
        <w:t xml:space="preserve">Market/appraisal analysis addressing surrounding property values</w:t>
      </w:r>
    </w:p>
    <w:p>
      <w:pPr>
        <w:pStyle w:val="ListParagraph"/>
        <w:numPr>
          <w:ilvl w:val="0"/>
          <w:numId w:val="2"/>
        </w:numPr>
        <w:spacing w:after="70" w:line="290"/>
      </w:pPr>
      <w:r>
        <w:rPr>
          <w:sz w:val="20"/>
          <w:szCs w:val="20"/>
        </w:rPr>
        <w:t xml:space="preserve">NH Natural Heritage Bureau DataCheck — not required by ordinance, but a free, fast way to screen for state-listed species; the parcel is recorded as wooded</w:t>
      </w:r>
    </w:p>
    <w:p>
      <w:pPr>
        <w:shd w:fill="8B0000" w:val="clear"/>
        <w:spacing w:after="100" w:before="260"/>
      </w:pPr>
      <w:r>
        <w:rPr>
          <w:b/>
          <w:bCs/>
          <w:color w:val="FFFFFF"/>
          <w:sz w:val="25"/>
          <w:szCs w:val="25"/>
        </w:rPr>
        <w:t xml:space="preserve">  D. APPENDIX — QUICK CONTACTS</w:t>
      </w:r>
    </w:p>
    <w:p>
      <w:pPr>
        <w:pStyle w:val="ListParagraph"/>
        <w:numPr>
          <w:ilvl w:val="0"/>
          <w:numId w:val="2"/>
        </w:numPr>
        <w:spacing w:after="70" w:line="290"/>
      </w:pPr>
      <w:r>
        <w:rPr>
          <w:sz w:val="20"/>
          <w:szCs w:val="20"/>
        </w:rPr>
        <w:t xml:space="preserve">Manchester Planning &amp; Community Development: pcd@manchesternh.gov</w:t>
      </w:r>
    </w:p>
    <w:p>
      <w:pPr>
        <w:pStyle w:val="ListParagraph"/>
        <w:numPr>
          <w:ilvl w:val="0"/>
          <w:numId w:val="2"/>
        </w:numPr>
        <w:spacing w:after="70" w:line="290"/>
      </w:pPr>
      <w:r>
        <w:rPr>
          <w:sz w:val="20"/>
          <w:szCs w:val="20"/>
        </w:rPr>
        <w:t xml:space="preserve">Ward 9 Alderman Jim Burkush — (603) 714-0283, jburkush@manchesternh.gov</w:t>
      </w:r>
    </w:p>
    <w:p>
      <w:pPr>
        <w:pStyle w:val="ListParagraph"/>
        <w:numPr>
          <w:ilvl w:val="0"/>
          <w:numId w:val="2"/>
        </w:numPr>
        <w:spacing w:after="70" w:line="290"/>
      </w:pPr>
      <w:r>
        <w:rPr>
          <w:sz w:val="20"/>
          <w:szCs w:val="20"/>
        </w:rPr>
        <w:t xml:space="preserve">Alderman At-Large June Trisciani — (603) 502-7800, jtrisciani@manchesternh.gov</w:t>
      </w:r>
    </w:p>
    <w:p>
      <w:pPr>
        <w:pStyle w:val="ListParagraph"/>
        <w:numPr>
          <w:ilvl w:val="0"/>
          <w:numId w:val="2"/>
        </w:numPr>
        <w:spacing w:after="70" w:line="290"/>
      </w:pPr>
      <w:r>
        <w:rPr>
          <w:sz w:val="20"/>
          <w:szCs w:val="20"/>
        </w:rPr>
        <w:t xml:space="preserve">Alderman At-Large Dan O’Neil — (603) 668-9814, doneil@manchesternh.gov</w:t>
      </w:r>
    </w:p>
    <w:p>
      <w:pPr>
        <w:pStyle w:val="ListParagraph"/>
        <w:numPr>
          <w:ilvl w:val="0"/>
          <w:numId w:val="2"/>
        </w:numPr>
        <w:spacing w:after="70" w:line="290"/>
      </w:pPr>
      <w:r>
        <w:rPr>
          <w:sz w:val="20"/>
          <w:szCs w:val="20"/>
        </w:rPr>
        <w:t xml:space="preserve">Neighborhood contacts: Nick Levasseur (603) 361-3828 | Jen Allard (603) 661-2555</w:t>
      </w:r>
    </w:p>
    <w:sectPr>
      <w:pgSz w:w="12240" w:h="15840" w:orient="portrait"/>
      <w:pgMar w:top="620" w:right="800" w:bottom="62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59"/>
      </w:pPr>
    </w:lvl>
  </w:abstractNum>
  <w:abstractNum w:abstractNumId="3" w15:restartNumberingAfterBreak="0">
    <w:multiLevelType w:val="hybridMultilevel"/>
    <w:lvl w:ilvl="0" w15:tentative="1">
      <w:start w:val="1"/>
      <w:numFmt w:val="decimal"/>
      <w:lvlText w:val="%1."/>
      <w:lvlJc w:val="left"/>
      <w:pPr>
        <w:ind w:left="403" w:hanging="345"/>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2026-09-09T21:29:33.322Z</dcterms:created>
  <dcterms:modified xsi:type="dcterms:W3CDTF">2026-09-09T21:29:33.323Z</dcterms:modified>
</cp:coreProperties>
</file>

<file path=docProps/custom.xml><?xml version="1.0" encoding="utf-8"?>
<Properties xmlns="http://schemas.openxmlformats.org/officeDocument/2006/custom-properties" xmlns:vt="http://schemas.openxmlformats.org/officeDocument/2006/docPropsVTypes"/>
</file>