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and, together with Alison Famisan-Levasseur, submitted written testimony and a Memorandum in Opposition that were entered into the record.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The Board voted to approve. Member Mathew Carnevale voted against approval, stating on the record that the applicant had not demonstrated unnecessary hardship, had not addressed the effect on surrounding property values, and had not shown that the spirit of the ordinance would be observed. </w:t>
      </w:r>
      <w:r>
        <w:rPr>
          <w:b/>
          <w:bCs/>
          <w:sz w:val="22"/>
          <w:szCs w:val="22"/>
          <w:highlight w:val="yellow"/>
          <w:highlightCs w:val="yellow"/>
        </w:rPr>
        <w:t xml:space="preserve">[Confirm spelling of the member's name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that eighteen percent of the property is undevelopable because of slope, and treated that as a hardship supporting the variances. No witness testified to that proposition. The applicant's memorandum does not make it. The applicant's only reference to slope is that a single-family layout would require grading “built” into the slope.</w:t>
      </w:r>
    </w:p>
    <w:p>
      <w:pPr>
        <w:pStyle w:val="ListParagraph"/>
        <w:numPr>
          <w:ilvl w:val="0"/>
          <w:numId w:val="2"/>
        </w:numPr>
        <w:spacing w:after="110" w:line="300"/>
      </w:pPr>
      <w:r>
        <w:rPr>
          <w:sz w:val="22"/>
          <w:szCs w:val="22"/>
        </w:rPr>
        <w:t xml:space="preserve">The eighteen percent figure appears to derive from the Zoning Review in the file, which computes buildable lot area as 60,406 square feet less 10,922 square feet for slopes, or 49,484 square feet. That deduction is the ordinance's method of calculating buildable area on any parcel with steep grades. It is not a finding that the land cannot be developed. The same deduction was applied to the applicant's own By-Right Subdivision Plan, which nonetheless yields five conforming single-family lots, each with more than 6,000 square feet of buildable area. The ordinance has already accounted for the slope, and the applicant's own engineer has designed a conforming project around it. A lot-area line item cannot be a special condition of the property when the applicant's conforming plan already incorporates it.</w:t>
      </w:r>
    </w:p>
    <w:p>
      <w:pPr>
        <w:pStyle w:val="ListParagraph"/>
        <w:numPr>
          <w:ilvl w:val="0"/>
          <w:numId w:val="2"/>
        </w:numPr>
        <w:spacing w:after="110" w:line="300"/>
      </w:pPr>
      <w:r>
        <w:rPr>
          <w:sz w:val="22"/>
          <w:szCs w:val="22"/>
        </w:rPr>
        <w:t xml:space="preserve">The applicant never argued that the slope prevents a reasonable conforming use, because its own plan shows that it does not. The hardship theory on which the Board relied was supplied by a Board member during deliberation, not by the applicant, and the Movants had no opportunity to answer it.</w:t>
      </w:r>
    </w:p>
    <w:p>
      <w:pPr>
        <w:pStyle w:val="ListParagraph"/>
        <w:numPr>
          <w:ilvl w:val="0"/>
          <w:numId w:val="2"/>
        </w:numPr>
        <w:spacing w:after="110" w:line="300"/>
      </w:pPr>
      <w:r>
        <w:rPr>
          <w:sz w:val="22"/>
          <w:szCs w:val="22"/>
        </w:rPr>
        <w:t xml:space="preserve">During the same deliberations, Vice Chair St. Pierre offered his professional judgment, as a real estate agent, that the development would not affect the value of surrounding properties. The applicant's entire showing on that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state on the record the basis for treating the slope deduction as a hardship and the basis of the opinion offered on property values, and afford the parties an opportunity to respond to both.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w:t>
      </w:r>
    </w:p>
    <w:p>
      <w:pPr>
        <w:pStyle w:val="ListParagraph"/>
        <w:numPr>
          <w:ilvl w:val="0"/>
          <w:numId w:val="2"/>
        </w:numPr>
        <w:spacing w:after="110" w:line="300"/>
      </w:pPr>
      <w:r>
        <w:rPr>
          <w:sz w:val="22"/>
          <w:szCs w:val="22"/>
        </w:rPr>
        <w:t xml:space="preserve">The ordinance states the intent of the R-1B district in terms: “to maintain higher-density neighborhoods of single-family, detached dwellings” (Table 3.3-A, District Descriptions). The applicant's memorandum argued that the spirit of the district is “to provide higher density residential neighborhoods.” The ordinance says the opposite: the density is to be achieved with single-family, detached dwellings. The same table assigns the transitional role the applicant claims for this project to a different district, R-2, which “forms a loose band around the more densely developed areas of the City, transitioning between mixed-use centers and the lower densities of the single-family districts,” and assigns townhouses to R-M, which is intended “to provide for neighborhoods comprised of a mix of apartment complexes, townhouses, and houses.”</w:t>
      </w:r>
    </w:p>
    <w:p>
      <w:pPr>
        <w:pStyle w:val="ListParagraph"/>
        <w:numPr>
          <w:ilvl w:val="0"/>
          <w:numId w:val="2"/>
        </w:numPr>
        <w:spacing w:after="110" w:line="300"/>
      </w:pPr>
      <w:r>
        <w:rPr>
          <w:sz w:val="22"/>
          <w:szCs w:val="22"/>
        </w:rPr>
        <w:t xml:space="preserve">Table 4.3-A lists Dwelling, Multifamily as not permitted in R-S, R-1A, R-1B, or R-2; the first district in which it is permitted is R-M. Table 5.3-A permits the Townhouse building type only in R-M, MX-2, BC-1, DT-1, and the Millyard, and by conditional use permit in ID. The ordinance's Townhouse standards (§5.3.1.E) would in fact allow a thirteen-unit townhouse project on a lot of this size in the R-M district. The relief the applicant sought is, in substance, a rezoning of this parcel from R-1B to R-M. That is a legislative act reserved to the Board of Mayor and Aldermen under RSA 675, not a variance.</w:t>
      </w:r>
    </w:p>
    <w:p>
      <w:pPr>
        <w:pStyle w:val="ListParagraph"/>
        <w:numPr>
          <w:ilvl w:val="0"/>
          <w:numId w:val="2"/>
        </w:numPr>
        <w:spacing w:after="110" w:line="300"/>
      </w:pPr>
      <w:r>
        <w:rPr>
          <w:sz w:val="22"/>
          <w:szCs w:val="22"/>
        </w:rPr>
        <w:t xml:space="preserve">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Section 8.7.1.C provides that “planned developments shall only include such building types as are permitted in the district,” so a two-building townhouse development in R-1B is not permitted as a planned development independently of the use and building-type prohibitions. No variance from §8.7.1.C was requested or granted.</w:t>
      </w:r>
    </w:p>
    <w:p>
      <w:pPr>
        <w:pStyle w:val="ListParagraph"/>
        <w:numPr>
          <w:ilvl w:val="0"/>
          <w:numId w:val="2"/>
        </w:numPr>
        <w:spacing w:after="110" w:line="300"/>
      </w:pPr>
      <w:r>
        <w:rPr>
          <w:sz w:val="22"/>
          <w:szCs w:val="22"/>
        </w:rPr>
        <w:t xml:space="preserve">Section 8.7.2.B.2 provides that for parcels of less than five acres, “the rear yard setback of the district shall apply to all side and rear lot lines.” The R-1B rear yard setback is thirty feet. The approved site plan shows ten-foot side and rear setbacks along the north and east lot lines. No variance from §8.7.2.B.2 was requested or granted. The approval therefore rests on a plan that cannot be built as drawn without further relief the Board has not considered.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A member of a quasi-judicial board must be indifferent between the parties. The Board's own By-Laws provide that a member with a direct personal or financial interest shall disqualify himself and absent himself from the Board table during the public hearing and all deliberation (Article IV), and that members “must not engage in ‘ex parte’ conversations material to the application” (Article XV).</w:t>
      </w:r>
    </w:p>
    <w:p>
      <w:pPr>
        <w:pStyle w:val="ListParagraph"/>
        <w:numPr>
          <w:ilvl w:val="0"/>
          <w:numId w:val="2"/>
        </w:numPr>
        <w:spacing w:after="110" w:line="300"/>
      </w:pPr>
      <w:r>
        <w:rPr>
          <w:sz w:val="22"/>
          <w:szCs w:val="22"/>
        </w:rPr>
        <w:t xml:space="preserve">The record of the September 10 deliberations shows the Vice Chair acting as an advocate for the application rather than as an adjudicator of it. He advanced a hardship theory the applicant had not argued. He supplied expert opinion on property values that the applicant had not offered. And in raising the possibility that future owners of single-family lots might remove trees, a matter with no bearing on any of the five statutory criteria, he remarked that </w:t>
      </w:r>
      <w:r>
        <w:rPr>
          <w:i/>
          <w:iCs/>
          <w:sz w:val="22"/>
          <w:szCs w:val="22"/>
        </w:rPr>
        <w:t xml:space="preserve">“the applicant beat me to”</w:t>
      </w:r>
      <w:r>
        <w:rPr>
          <w:sz w:val="22"/>
          <w:szCs w:val="22"/>
        </w:rPr>
        <w:t xml:space="preserve"> the point, indicating that he had arrived at the hearing with arguments in support of the application prepared in advance and was tracking which of them the applicant had already made. </w:t>
      </w:r>
      <w:r>
        <w:rPr>
          <w:b/>
          <w:bCs/>
          <w:sz w:val="22"/>
          <w:szCs w:val="22"/>
          <w:highlight w:val="yellow"/>
          <w:highlightCs w:val="yellow"/>
        </w:rPr>
        <w:t xml:space="preserve">[Quote the remark exactly as it appears on the recording.]</w:t>
      </w:r>
      <w:r>
        <w:rPr>
          <w:sz w:val="22"/>
          <w:szCs w:val="22"/>
        </w:rPr>
        <w:t xml:space="preserve"> The Movants do not allege bad faith, and do not know whether the Vice Chair had any contact with the applicant outside the public hearing. They raise the matter at the earliest opportunity available to them, since the conduct occurred during deliberation after the hearing was closed. </w:t>
      </w:r>
      <w:r>
        <w:rPr>
          <w:i/>
          <w:iCs/>
          <w:sz w:val="22"/>
          <w:szCs w:val="22"/>
        </w:rPr>
        <w:t xml:space="preserve">Webster v. Town of Candia</w:t>
      </w:r>
      <w:r>
        <w:rPr>
          <w:sz w:val="22"/>
          <w:szCs w:val="22"/>
        </w:rPr>
        <w:t xml:space="preserve">, 146 N.H. 430 (2001).</w:t>
      </w:r>
    </w:p>
    <w:p>
      <w:pPr>
        <w:pStyle w:val="ListParagraph"/>
        <w:numPr>
          <w:ilvl w:val="0"/>
          <w:numId w:val="2"/>
        </w:numPr>
        <w:spacing w:after="110" w:line="300"/>
      </w:pPr>
      <w:r>
        <w:rPr>
          <w:sz w:val="22"/>
          <w:szCs w:val="22"/>
        </w:rPr>
        <w:t xml:space="preserve">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Participation by a member who should have been disqualified invalidates the decision regardless of how the remaining members voted. Winslow v. Town of Holderness Planning Board, 125 N.H. 262 (1984).</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basis for treating the slope deduction as a hardship, and the basis of the property-value opinion, be stated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2026-09-11T14:25:07.192Z</dcterms:created>
  <dcterms:modified xsi:type="dcterms:W3CDTF">2026-09-11T14:25:07.209Z</dcterms:modified>
</cp:coreProperties>
</file>

<file path=docProps/custom.xml><?xml version="1.0" encoding="utf-8"?>
<Properties xmlns="http://schemas.openxmlformats.org/officeDocument/2006/custom-properties" xmlns:vt="http://schemas.openxmlformats.org/officeDocument/2006/docPropsVTypes"/>
</file>