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1F65DC" w14:textId="42C29770" w:rsidR="00542521" w:rsidRPr="00B05F33" w:rsidRDefault="00414565" w:rsidP="006F6ADF">
      <w:pPr>
        <w:pStyle w:val="Heading1"/>
        <w:rPr>
          <w:rStyle w:val="BookTitle"/>
          <w:b/>
          <w:sz w:val="72"/>
          <w:szCs w:val="72"/>
        </w:rPr>
      </w:pPr>
      <w:r w:rsidRPr="00B05F33">
        <w:rPr>
          <w:rStyle w:val="BookTitle"/>
          <w:b/>
          <w:sz w:val="72"/>
          <w:szCs w:val="72"/>
        </w:rPr>
        <w:t xml:space="preserve">NO MONEY, NO PROBLEM</w:t>
      </w:r>
      <w:r w:rsidR="006A1C6B" w:rsidRPr="00B05F33">
        <w:rPr>
          <w:rStyle w:val="BookTitle"/>
          <w:b/>
          <w:sz w:val="72"/>
          <w:szCs w:val="72"/>
        </w:rPr>
        <w:t/>
      </w:r>
      <w:r w:rsidRPr="00B05F33">
        <w:rPr>
          <w:rStyle w:val="BookTitle"/>
          <w:b/>
          <w:sz w:val="72"/>
          <w:szCs w:val="72"/>
        </w:rPr>
        <w:t/>
      </w:r>
    </w:p>
    <w:p w14:paraId="591F65DD" w14:textId="77777777" w:rsidR="00FF4A04" w:rsidRDefault="00FF4A04" w:rsidP="00E72DB8">
      <w:pPr>
        <w:pStyle w:val="mainbody"/>
      </w:pPr>
    </w:p>
    <w:p w14:paraId="591F65DE" w14:textId="77777777" w:rsidR="00FF4A04" w:rsidRDefault="00FF4A04" w:rsidP="00E72DB8">
      <w:pPr>
        <w:pStyle w:val="mainbody"/>
      </w:pPr>
    </w:p>
    <w:p w14:paraId="591F65DF" w14:textId="0ED9A7F7" w:rsidR="0031563D" w:rsidRPr="006F6ADF" w:rsidRDefault="00C657B9" w:rsidP="000B37C0">
      <w:pPr>
        <w:pStyle w:val="FirstParagraph1"/>
        <w:jc w:val="center"/>
        <w:rPr>
          <w:rFonts w:ascii="Aleo" w:hAnsi="Aleo"/>
          <w:b/>
          <w:sz w:val="32"/>
          <w:szCs w:val="32"/>
        </w:rPr>
      </w:pPr>
      <w:r>
        <w:rPr>
          <w:rStyle w:val="BookTitle"/>
          <w:rFonts w:ascii="Aleo" w:hAnsi="Aleo"/>
          <w:b/>
          <w:bCs w:val="0"/>
          <w:smallCaps w:val="0"/>
          <w:spacing w:val="0"/>
          <w:sz w:val="32"/>
          <w:szCs w:val="32"/>
        </w:rPr>
        <w:t xml:space="preserve">No Money, No Problem - The Real Estate Investor’s Blueprint to Funding Deals Without Your Own Cash</w:t>
      </w:r>
    </w:p>
    <w:p w14:paraId="591F65E0" w14:textId="1162FDF4" w:rsidR="009653A0" w:rsidRPr="00BF0583" w:rsidRDefault="00C657B9" w:rsidP="00AD795A">
      <w:pPr>
        <w:pStyle w:val="Subtitle"/>
        <w:rPr>
          <w:i/>
          <w:iCs/>
        </w:rPr>
      </w:pPr>
      <w:r w:rsidRPr="00BF0583">
        <w:rPr>
          <w:i/>
          <w:iCs/>
        </w:rPr>
        <w:t xml:space="preserve">Toby Potter</w:t>
      </w:r>
      <w:proofErr w:type="spellStart"/>
      <w:r w:rsidR="006A1C6B" w:rsidRPr="00BF0583">
        <w:rPr>
          <w:i/>
          <w:iCs/>
        </w:rPr>
        <w:t/>
      </w:r>
      <w:proofErr w:type="spellEnd"/>
      <w:r w:rsidRPr="00BF0583">
        <w:rPr>
          <w:i/>
          <w:iCs/>
        </w:rPr>
        <w:t/>
      </w:r>
    </w:p>
    <w:p w14:paraId="591F65E1" w14:textId="77777777" w:rsidR="0031563D" w:rsidRDefault="0031563D"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2" w14:textId="77777777" w:rsidR="00927D6B" w:rsidRDefault="00927D6B" w:rsidP="008F56E6">
      <w:pPr>
        <w:widowControl/>
        <w:suppressAutoHyphens w:val="0"/>
        <w:autoSpaceDE w:val="0"/>
        <w:autoSpaceDN w:val="0"/>
        <w:adjustRightInd w:val="0"/>
        <w:spacing w:line="320" w:lineRule="atLeast"/>
        <w:textAlignment w:val="center"/>
        <w:rPr>
          <w:rFonts w:ascii="Theano Didot" w:eastAsia="SimSun" w:hAnsi="Theano Didot" w:cs="Theano Didot"/>
          <w:color w:val="000000"/>
          <w:lang w:val="en-GB" w:eastAsia="zh-CN" w:bidi="ar-SA"/>
        </w:rPr>
      </w:pPr>
    </w:p>
    <w:p w14:paraId="591F65E3" w14:textId="77777777" w:rsidR="00927D6B" w:rsidRDefault="00927D6B"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4" w14:textId="77777777" w:rsidR="00927D6B" w:rsidRDefault="00927D6B"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5" w14:textId="77777777" w:rsidR="00927D6B" w:rsidRDefault="00927D6B"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6" w14:textId="77777777" w:rsidR="00927D6B" w:rsidRDefault="00927D6B"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8" w14:textId="77777777" w:rsidR="00993E93" w:rsidRDefault="00993E93"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7A080E18" w14:textId="77777777" w:rsidR="00BF0583" w:rsidRDefault="00BF0583" w:rsidP="009653A0">
      <w:pPr>
        <w:widowControl/>
        <w:suppressAutoHyphens w:val="0"/>
        <w:autoSpaceDE w:val="0"/>
        <w:autoSpaceDN w:val="0"/>
        <w:adjustRightInd w:val="0"/>
        <w:spacing w:line="320" w:lineRule="atLeast"/>
        <w:jc w:val="center"/>
        <w:textAlignment w:val="center"/>
        <w:rPr>
          <w:rFonts w:ascii="Theano Didot" w:eastAsia="SimSun" w:hAnsi="Theano Didot" w:cs="Theano Didot"/>
          <w:color w:val="000000"/>
          <w:lang w:val="en-GB" w:eastAsia="zh-CN" w:bidi="ar-SA"/>
        </w:rPr>
      </w:pPr>
    </w:p>
    <w:p w14:paraId="591F65E9" w14:textId="77777777" w:rsidR="00993E93" w:rsidRDefault="00993E93" w:rsidP="00742613"/>
    <w:p w14:paraId="591F65EA" w14:textId="77777777" w:rsidR="00993E93" w:rsidRDefault="00993E93" w:rsidP="00742613">
      <w:pPr>
        <w:sectPr w:rsidR="00993E93" w:rsidSect="002063F9">
          <w:pgSz w:w="7920" w:h="12240"/>
          <w:pgMar w:top="936" w:right="864" w:bottom="792" w:left="864" w:header="936" w:footer="864" w:gutter="288"/>
          <w:pgNumType w:fmt="lowerRoman"/>
          <w:cols w:space="720"/>
          <w:titlePg/>
          <w:docGrid w:linePitch="360"/>
        </w:sectPr>
      </w:pPr>
    </w:p>
    <w:p w14:paraId="591F65EB" w14:textId="77777777" w:rsidR="002D2247" w:rsidRPr="00EC6244" w:rsidRDefault="002D2247" w:rsidP="00742613"/>
    <w:p w14:paraId="591F65EC" w14:textId="77777777" w:rsidR="00927D6B" w:rsidRDefault="00927D6B" w:rsidP="00993E93">
      <w:pPr>
        <w:pStyle w:val="titlepage"/>
      </w:pPr>
    </w:p>
    <w:p w14:paraId="591F65ED" w14:textId="77777777" w:rsidR="00927D6B" w:rsidRDefault="00927D6B" w:rsidP="00993E93">
      <w:pPr>
        <w:pStyle w:val="titlepage"/>
      </w:pPr>
    </w:p>
    <w:p w14:paraId="591F65EE" w14:textId="77777777" w:rsidR="00927D6B" w:rsidRDefault="00927D6B" w:rsidP="00993E93">
      <w:pPr>
        <w:pStyle w:val="titlepage"/>
      </w:pPr>
    </w:p>
    <w:p w14:paraId="591F65EF" w14:textId="77777777" w:rsidR="00EE2A03" w:rsidRDefault="00EE2A03" w:rsidP="00993E93">
      <w:pPr>
        <w:pStyle w:val="titlepage"/>
      </w:pPr>
    </w:p>
    <w:p w14:paraId="591F65F0" w14:textId="77777777" w:rsidR="00EE2A03" w:rsidRDefault="00EE2A03" w:rsidP="00993E93">
      <w:pPr>
        <w:pStyle w:val="titlepage"/>
      </w:pPr>
    </w:p>
    <w:p w14:paraId="591F65F1" w14:textId="77777777" w:rsidR="00EE2A03" w:rsidRDefault="00EE2A03" w:rsidP="00993E93">
      <w:pPr>
        <w:pStyle w:val="titlepage"/>
      </w:pPr>
    </w:p>
    <w:p w14:paraId="591F65F2" w14:textId="77777777" w:rsidR="005B49CD" w:rsidRDefault="005B49CD" w:rsidP="00993E93">
      <w:pPr>
        <w:pStyle w:val="titlepage"/>
      </w:pPr>
    </w:p>
    <w:p w14:paraId="591F65F3" w14:textId="77777777" w:rsidR="005B49CD" w:rsidRDefault="005B49CD" w:rsidP="00993E93">
      <w:pPr>
        <w:pStyle w:val="titlepage"/>
      </w:pPr>
    </w:p>
    <w:p w14:paraId="591F65F4" w14:textId="77777777" w:rsidR="005B49CD" w:rsidRDefault="005B49CD" w:rsidP="00993E93">
      <w:pPr>
        <w:pStyle w:val="titlepage"/>
      </w:pPr>
    </w:p>
    <w:p w14:paraId="591F65F5" w14:textId="77777777" w:rsidR="005B49CD" w:rsidRDefault="005B49CD" w:rsidP="00993E93">
      <w:pPr>
        <w:pStyle w:val="titlepage"/>
      </w:pPr>
    </w:p>
    <w:p w14:paraId="591F65F6" w14:textId="77777777" w:rsidR="005B49CD" w:rsidRDefault="005B49CD" w:rsidP="00993E93">
      <w:pPr>
        <w:pStyle w:val="titlepage"/>
      </w:pPr>
    </w:p>
    <w:p w14:paraId="591F65F7" w14:textId="4E9D2703" w:rsidR="002D2247" w:rsidRPr="00993E93" w:rsidRDefault="00927D6B" w:rsidP="00993E93">
      <w:pPr>
        <w:pStyle w:val="titlepage"/>
      </w:pPr>
      <w:r>
        <w:t xml:space="preserve">Copyright © </w:t>
      </w:r>
      <w:r w:rsidR="00C657B9">
        <w:t xml:space="preserve">2025</w:t>
      </w:r>
      <w:proofErr w:type="spellStart"/>
      <w:r w:rsidR="00C657B9">
        <w:t/>
      </w:r>
      <w:proofErr w:type="spellEnd"/>
      <w:r w:rsidR="00C657B9">
        <w:t/>
      </w:r>
      <w:r w:rsidR="002D2247" w:rsidRPr="00993E93">
        <w:t xml:space="preserve"> by </w:t>
      </w:r>
      <w:r w:rsidR="00C657B9">
        <w:t xml:space="preserve">Toby Potter</w:t>
      </w:r>
      <w:proofErr w:type="spellStart"/>
      <w:r w:rsidR="00C657B9">
        <w:t/>
      </w:r>
      <w:proofErr w:type="spellEnd"/>
      <w:r w:rsidR="00C657B9">
        <w:t/>
      </w:r>
      <w:r w:rsidR="002D2247" w:rsidRPr="00993E93">
        <w:t>.</w:t>
      </w:r>
    </w:p>
    <w:p w14:paraId="591F65F8" w14:textId="77777777" w:rsidR="00F1752E" w:rsidRPr="00993E93" w:rsidRDefault="00F1752E" w:rsidP="00993E93">
      <w:pPr>
        <w:pStyle w:val="titlepage"/>
      </w:pPr>
    </w:p>
    <w:p w14:paraId="591F65F9" w14:textId="77777777" w:rsidR="002D2247" w:rsidRPr="00993E93" w:rsidRDefault="00032F90" w:rsidP="00993E93">
      <w:pPr>
        <w:pStyle w:val="titlepage"/>
      </w:pPr>
      <w:r>
        <w:t xml:space="preserve">All </w:t>
      </w:r>
      <w:proofErr w:type="spellStart"/>
      <w:r>
        <w:t>rights</w:t>
      </w:r>
      <w:proofErr w:type="spellEnd"/>
      <w:r>
        <w:t xml:space="preserve"> </w:t>
      </w:r>
      <w:proofErr w:type="spellStart"/>
      <w:r>
        <w:t>reserved</w:t>
      </w:r>
      <w:proofErr w:type="spellEnd"/>
      <w:r>
        <w:t>.</w:t>
      </w:r>
      <w:r w:rsidR="002D2247" w:rsidRPr="00993E93">
        <w:t xml:space="preserve"> No part of </w:t>
      </w:r>
      <w:proofErr w:type="spellStart"/>
      <w:r w:rsidR="002D2247" w:rsidRPr="00993E93">
        <w:t>this</w:t>
      </w:r>
      <w:proofErr w:type="spellEnd"/>
      <w:r w:rsidR="002D2247" w:rsidRPr="00993E93">
        <w:t xml:space="preserve"> book </w:t>
      </w:r>
      <w:proofErr w:type="spellStart"/>
      <w:r w:rsidR="002D2247" w:rsidRPr="00993E93">
        <w:t>may</w:t>
      </w:r>
      <w:proofErr w:type="spellEnd"/>
      <w:r w:rsidR="002D2247" w:rsidRPr="00993E93">
        <w:t xml:space="preserve"> </w:t>
      </w:r>
      <w:proofErr w:type="spellStart"/>
      <w:r w:rsidR="002D2247" w:rsidRPr="00993E93">
        <w:t>be</w:t>
      </w:r>
      <w:proofErr w:type="spellEnd"/>
      <w:r w:rsidR="002D2247" w:rsidRPr="00993E93">
        <w:t xml:space="preserve"> </w:t>
      </w:r>
      <w:proofErr w:type="spellStart"/>
      <w:r>
        <w:t>used</w:t>
      </w:r>
      <w:proofErr w:type="spellEnd"/>
      <w:r>
        <w:t xml:space="preserve"> or </w:t>
      </w:r>
      <w:proofErr w:type="spellStart"/>
      <w:r>
        <w:t>reproduced</w:t>
      </w:r>
      <w:proofErr w:type="spellEnd"/>
      <w:r>
        <w:t xml:space="preserve"> in </w:t>
      </w:r>
      <w:proofErr w:type="spellStart"/>
      <w:r>
        <w:t>any</w:t>
      </w:r>
      <w:proofErr w:type="spellEnd"/>
      <w:r>
        <w:t xml:space="preserve"> </w:t>
      </w:r>
      <w:proofErr w:type="spellStart"/>
      <w:r>
        <w:t>form</w:t>
      </w:r>
      <w:proofErr w:type="spellEnd"/>
      <w:r w:rsidR="002D2247" w:rsidRPr="00993E93">
        <w:t xml:space="preserve"> </w:t>
      </w:r>
      <w:proofErr w:type="spellStart"/>
      <w:r w:rsidR="002D2247" w:rsidRPr="00993E93">
        <w:t>whatsoever</w:t>
      </w:r>
      <w:proofErr w:type="spellEnd"/>
      <w:r w:rsidR="002D2247" w:rsidRPr="00993E93">
        <w:t xml:space="preserve"> </w:t>
      </w:r>
      <w:proofErr w:type="spellStart"/>
      <w:r w:rsidR="002D2247" w:rsidRPr="00993E93">
        <w:t>without</w:t>
      </w:r>
      <w:proofErr w:type="spellEnd"/>
      <w:r w:rsidR="002D2247" w:rsidRPr="00993E93">
        <w:t xml:space="preserve"> </w:t>
      </w:r>
      <w:proofErr w:type="spellStart"/>
      <w:r w:rsidR="002D2247" w:rsidRPr="00993E93">
        <w:t>written</w:t>
      </w:r>
      <w:proofErr w:type="spellEnd"/>
      <w:r w:rsidR="002D2247" w:rsidRPr="00993E93">
        <w:t xml:space="preserve"> permission </w:t>
      </w:r>
      <w:proofErr w:type="spellStart"/>
      <w:r w:rsidR="002D2247" w:rsidRPr="00993E93">
        <w:t>except</w:t>
      </w:r>
      <w:proofErr w:type="spellEnd"/>
      <w:r w:rsidR="002D2247" w:rsidRPr="00993E93">
        <w:t xml:space="preserve"> in the cas</w:t>
      </w:r>
      <w:r>
        <w:t xml:space="preserve">e of brief </w:t>
      </w:r>
      <w:proofErr w:type="spellStart"/>
      <w:r>
        <w:t>quotations</w:t>
      </w:r>
      <w:proofErr w:type="spellEnd"/>
      <w:r w:rsidR="002D2247" w:rsidRPr="00993E93">
        <w:t xml:space="preserve"> in </w:t>
      </w:r>
      <w:proofErr w:type="spellStart"/>
      <w:r w:rsidR="002D2247" w:rsidRPr="00993E93">
        <w:t>critical</w:t>
      </w:r>
      <w:proofErr w:type="spellEnd"/>
      <w:r w:rsidR="002D2247" w:rsidRPr="00993E93">
        <w:t xml:space="preserve"> articles or </w:t>
      </w:r>
      <w:proofErr w:type="spellStart"/>
      <w:r w:rsidR="002D2247" w:rsidRPr="00993E93">
        <w:t>reviews</w:t>
      </w:r>
      <w:proofErr w:type="spellEnd"/>
      <w:r w:rsidR="002D2247" w:rsidRPr="00993E93">
        <w:t>.</w:t>
      </w:r>
    </w:p>
    <w:p w14:paraId="591F65FA" w14:textId="77777777" w:rsidR="002D2247" w:rsidRDefault="002D2247" w:rsidP="00993E93">
      <w:pPr>
        <w:pStyle w:val="titlepage"/>
      </w:pPr>
    </w:p>
    <w:p w14:paraId="591F65FB" w14:textId="77777777" w:rsidR="00032F90" w:rsidRDefault="00032F90" w:rsidP="00993E93">
      <w:pPr>
        <w:pStyle w:val="titlepage"/>
      </w:pPr>
      <w:proofErr w:type="spellStart"/>
      <w:r w:rsidRPr="00993E93">
        <w:t>Printed</w:t>
      </w:r>
      <w:proofErr w:type="spellEnd"/>
      <w:r w:rsidRPr="00993E93">
        <w:t xml:space="preserve"> in the United States of America.</w:t>
      </w:r>
    </w:p>
    <w:p w14:paraId="591F65FC" w14:textId="77777777" w:rsidR="00032F90" w:rsidRPr="00993E93" w:rsidRDefault="00032F90" w:rsidP="00993E93">
      <w:pPr>
        <w:pStyle w:val="titlepage"/>
      </w:pPr>
    </w:p>
    <w:p w14:paraId="591F65FD" w14:textId="77777777" w:rsidR="006215EA" w:rsidRPr="00993E93" w:rsidRDefault="006215EA" w:rsidP="00993E93">
      <w:pPr>
        <w:pStyle w:val="titlepage"/>
      </w:pPr>
      <w:r w:rsidRPr="00993E93">
        <w:t>For</w:t>
      </w:r>
      <w:r w:rsidR="00927D6B">
        <w:t xml:space="preserve"> more</w:t>
      </w:r>
      <w:r w:rsidRPr="00993E93">
        <w:t xml:space="preserve"> information</w:t>
      </w:r>
      <w:r w:rsidR="00927D6B">
        <w:t xml:space="preserve">, or to book an </w:t>
      </w:r>
      <w:proofErr w:type="spellStart"/>
      <w:r w:rsidR="00927D6B">
        <w:t>event</w:t>
      </w:r>
      <w:proofErr w:type="spellEnd"/>
      <w:r w:rsidR="00927D6B">
        <w:t>,</w:t>
      </w:r>
      <w:r w:rsidRPr="00993E93">
        <w:t xml:space="preserve"> contact :</w:t>
      </w:r>
    </w:p>
    <w:p w14:paraId="591F65FE" w14:textId="6E47A60A" w:rsidR="006215EA" w:rsidRPr="00993E93" w:rsidRDefault="00C657B9" w:rsidP="00993E93">
      <w:pPr>
        <w:pStyle w:val="titlepage"/>
      </w:pPr>
      <w:r>
        <w:t xml:space="preserve">Toby@globalintegrityfinance.com</w:t>
      </w:r>
      <w:proofErr w:type="gramStart"/>
      <w:r>
        <w:t/>
      </w:r>
      <w:proofErr w:type="gramEnd"/>
      <w:r>
        <w:t/>
      </w:r>
      <w:r w:rsidR="006215EA" w:rsidRPr="00993E93">
        <w:t xml:space="preserve"> </w:t>
      </w:r>
    </w:p>
    <w:p w14:paraId="591F65FF" w14:textId="7D1E0240" w:rsidR="002D2247" w:rsidRPr="00993E93" w:rsidRDefault="00D443F3" w:rsidP="00993E93">
      <w:pPr>
        <w:pStyle w:val="titlepage"/>
      </w:pPr>
      <w:hyperlink r:id="rId8" w:history="1">
        <w:r>
          <w:rPr>
            <w:rStyle w:val="Hyperlink"/>
            <w:b w:val="0"/>
            <w:color w:val="auto"/>
            <w:u w:val="none"/>
          </w:rPr>
          <w:t xml:space="preserve">www.theunshakableinvestor.com</w:t>
        </w:r>
        <w:proofErr w:type="spellStart"/>
        <w:r>
          <w:rPr>
            <w:rStyle w:val="Hyperlink"/>
            <w:b w:val="0"/>
            <w:color w:val="auto"/>
            <w:u w:val="none"/>
          </w:rPr>
          <w:t/>
        </w:r>
        <w:proofErr w:type="spellEnd"/>
        <w:r>
          <w:rPr>
            <w:rStyle w:val="Hyperlink"/>
            <w:b w:val="0"/>
            <w:color w:val="auto"/>
            <w:u w:val="none"/>
          </w:rPr>
          <w:t/>
        </w:r>
      </w:hyperlink>
    </w:p>
    <w:p w14:paraId="591F6600" w14:textId="77777777" w:rsidR="002D2247" w:rsidRPr="00993E93" w:rsidRDefault="002D2247" w:rsidP="00993E93">
      <w:pPr>
        <w:pStyle w:val="titlepage"/>
      </w:pPr>
    </w:p>
    <w:p w14:paraId="591F6601" w14:textId="197AF5A9" w:rsidR="00927D6B" w:rsidRDefault="002D2247" w:rsidP="00993E93">
      <w:pPr>
        <w:pStyle w:val="titlepage"/>
      </w:pPr>
      <w:r w:rsidRPr="00993E93">
        <w:t xml:space="preserve">Book </w:t>
      </w:r>
      <w:r w:rsidR="00927D6B">
        <w:t xml:space="preserve">design by </w:t>
      </w:r>
      <w:r w:rsidR="00D443F3">
        <w:t xml:space="preserve">{{BookDesigner}}</w:t>
      </w:r>
      <w:proofErr w:type="spellStart"/>
      <w:r w:rsidR="00D443F3">
        <w:t/>
      </w:r>
      <w:proofErr w:type="spellEnd"/>
      <w:r w:rsidR="00D443F3">
        <w:t/>
      </w:r>
      <w:r w:rsidRPr="00993E93">
        <w:t xml:space="preserve"> </w:t>
      </w:r>
    </w:p>
    <w:p w14:paraId="591F6602" w14:textId="6B940719" w:rsidR="002D2247" w:rsidRPr="00993E93" w:rsidRDefault="002D2247" w:rsidP="00993E93">
      <w:pPr>
        <w:pStyle w:val="titlepage"/>
      </w:pPr>
      <w:r w:rsidRPr="00993E93">
        <w:t xml:space="preserve">Cover design by </w:t>
      </w:r>
      <w:r w:rsidR="00D443F3">
        <w:t xml:space="preserve">{{CoverDesigner}}</w:t>
      </w:r>
      <w:proofErr w:type="spellStart"/>
      <w:r w:rsidR="00D443F3">
        <w:t/>
      </w:r>
      <w:proofErr w:type="spellEnd"/>
      <w:r w:rsidR="00D443F3">
        <w:t/>
      </w:r>
      <w:r w:rsidR="00927D6B">
        <w:t>)</w:t>
      </w:r>
    </w:p>
    <w:p w14:paraId="591F6603" w14:textId="77777777" w:rsidR="00927D6B" w:rsidRDefault="00927D6B" w:rsidP="00993E93">
      <w:pPr>
        <w:pStyle w:val="titlepage"/>
      </w:pPr>
    </w:p>
    <w:p w14:paraId="591F6606" w14:textId="77777777" w:rsidR="002D2247" w:rsidRDefault="002D2247" w:rsidP="00993E93">
      <w:pPr>
        <w:pStyle w:val="titlepage"/>
      </w:pPr>
    </w:p>
    <w:p w14:paraId="71F8C7AF" w14:textId="77777777" w:rsidR="00414565" w:rsidRDefault="00414565" w:rsidP="00993E93">
      <w:pPr>
        <w:pStyle w:val="titlepage"/>
      </w:pPr>
    </w:p>
    <w:p w14:paraId="69876A67" w14:textId="77777777" w:rsidR="00414565" w:rsidRPr="00993E93" w:rsidRDefault="00414565" w:rsidP="00993E93">
      <w:pPr>
        <w:pStyle w:val="titlepage"/>
      </w:pPr>
    </w:p>
    <w:p w14:paraId="591F6607" w14:textId="4CEC851B" w:rsidR="00F1752E" w:rsidRDefault="00F1752E" w:rsidP="00EE2A03">
      <w:pPr>
        <w:pStyle w:val="titlepage"/>
        <w:sectPr w:rsidR="00F1752E" w:rsidSect="002063F9">
          <w:pgSz w:w="7920" w:h="12240"/>
          <w:pgMar w:top="936" w:right="864" w:bottom="792" w:left="864" w:header="936" w:footer="864" w:gutter="288"/>
          <w:pgNumType w:fmt="lowerRoman"/>
          <w:cols w:space="720"/>
          <w:titlePg/>
          <w:docGrid w:linePitch="360"/>
        </w:sectPr>
      </w:pPr>
    </w:p>
    <w:p w14:paraId="591F6608" w14:textId="77777777" w:rsidR="00514526" w:rsidRPr="006F6ADF" w:rsidRDefault="003C0F28" w:rsidP="006F6ADF">
      <w:pPr>
        <w:pStyle w:val="Heading1"/>
      </w:pPr>
      <w:bookmarkStart w:id="0" w:name="_Toc378945288"/>
      <w:bookmarkStart w:id="1" w:name="_Toc378945305"/>
      <w:bookmarkStart w:id="2" w:name="_Toc382340905"/>
      <w:bookmarkStart w:id="3" w:name="_Toc427617967"/>
      <w:bookmarkStart w:id="4" w:name="_Toc98233614"/>
      <w:r w:rsidRPr="006F6ADF">
        <w:lastRenderedPageBreak/>
        <w:t>CONTENTS</w:t>
      </w:r>
      <w:bookmarkEnd w:id="0"/>
      <w:bookmarkEnd w:id="1"/>
      <w:bookmarkEnd w:id="2"/>
      <w:bookmarkEnd w:id="3"/>
      <w:bookmarkEnd w:id="4"/>
    </w:p>
    <w:p w14:paraId="591F6609" w14:textId="77777777" w:rsidR="00A239DA" w:rsidRDefault="00EC6244">
      <w:pPr>
        <w:pStyle w:val="TOC1"/>
        <w:tabs>
          <w:tab w:val="right" w:leader="dot" w:pos="6614"/>
        </w:tabs>
        <w:rPr>
          <w:rFonts w:asciiTheme="minorHAnsi" w:eastAsiaTheme="minorEastAsia" w:hAnsiTheme="minorHAnsi" w:cstheme="minorBidi"/>
          <w:b w:val="0"/>
          <w:bCs w:val="0"/>
          <w:caps w:val="0"/>
          <w:noProof/>
          <w:sz w:val="22"/>
          <w:szCs w:val="22"/>
          <w:lang w:eastAsia="en-US"/>
        </w:rPr>
      </w:pPr>
      <w:r w:rsidRPr="00FF4A04">
        <w:rPr>
          <w:rFonts w:ascii="Libre Baskerville" w:eastAsia="Times New Roman" w:hAnsi="Libre Baskerville"/>
          <w:b w:val="0"/>
          <w:lang w:val="en-AU"/>
        </w:rPr>
        <w:fldChar w:fldCharType="begin"/>
      </w:r>
      <w:r w:rsidRPr="00FF4A04">
        <w:rPr>
          <w:rFonts w:ascii="Libre Baskerville" w:hAnsi="Libre Baskerville"/>
          <w:b w:val="0"/>
          <w:lang w:val="en-AU"/>
        </w:rPr>
        <w:instrText xml:space="preserve"> TOC \o "1-3" \h \z \u </w:instrText>
      </w:r>
      <w:r w:rsidRPr="00FF4A04">
        <w:rPr>
          <w:rFonts w:ascii="Libre Baskerville" w:eastAsia="Times New Roman" w:hAnsi="Libre Baskerville"/>
          <w:b w:val="0"/>
          <w:lang w:val="en-AU"/>
        </w:rPr>
        <w:fldChar w:fldCharType="separate"/>
      </w:r>
    </w:p>
    <w:p w14:paraId="591F660A" w14:textId="77777777" w:rsidR="00A239DA" w:rsidRDefault="00A239DA">
      <w:pPr>
        <w:pStyle w:val="TOC1"/>
        <w:tabs>
          <w:tab w:val="right" w:leader="dot" w:pos="6614"/>
        </w:tabs>
        <w:rPr>
          <w:rFonts w:asciiTheme="minorHAnsi" w:eastAsiaTheme="minorEastAsia" w:hAnsiTheme="minorHAnsi" w:cstheme="minorBidi"/>
          <w:b w:val="0"/>
          <w:bCs w:val="0"/>
          <w:caps w:val="0"/>
          <w:noProof/>
          <w:sz w:val="22"/>
          <w:szCs w:val="22"/>
          <w:lang w:eastAsia="en-US"/>
        </w:rPr>
      </w:pPr>
      <w:hyperlink w:anchor="_Toc98233615" w:history="1">
        <w:r w:rsidRPr="009560D7">
          <w:rPr>
            <w:rStyle w:val="Hyperlink"/>
            <w:noProof/>
          </w:rPr>
          <w:t>1</w:t>
        </w:r>
        <w:r>
          <w:rPr>
            <w:noProof/>
            <w:webHidden/>
          </w:rPr>
          <w:tab/>
        </w:r>
        <w:r>
          <w:rPr>
            <w:noProof/>
            <w:webHidden/>
          </w:rPr>
          <w:fldChar w:fldCharType="begin"/>
        </w:r>
        <w:r>
          <w:rPr>
            <w:noProof/>
            <w:webHidden/>
          </w:rPr>
          <w:instrText xml:space="preserve"> PAGEREF _Toc98233615 \h </w:instrText>
        </w:r>
        <w:r>
          <w:rPr>
            <w:noProof/>
            <w:webHidden/>
          </w:rPr>
        </w:r>
        <w:r>
          <w:rPr>
            <w:noProof/>
            <w:webHidden/>
          </w:rPr>
          <w:fldChar w:fldCharType="separate"/>
        </w:r>
        <w:r w:rsidR="005B4C81">
          <w:rPr>
            <w:noProof/>
            <w:webHidden/>
          </w:rPr>
          <w:t>1</w:t>
        </w:r>
        <w:r>
          <w:rPr>
            <w:noProof/>
            <w:webHidden/>
          </w:rPr>
          <w:fldChar w:fldCharType="end"/>
        </w:r>
      </w:hyperlink>
    </w:p>
    <w:p w14:paraId="591F660B" w14:textId="77777777" w:rsidR="00A239DA" w:rsidRDefault="00A239DA">
      <w:pPr>
        <w:pStyle w:val="TOC1"/>
        <w:tabs>
          <w:tab w:val="right" w:leader="dot" w:pos="6614"/>
        </w:tabs>
        <w:rPr>
          <w:rFonts w:asciiTheme="minorHAnsi" w:eastAsiaTheme="minorEastAsia" w:hAnsiTheme="minorHAnsi" w:cstheme="minorBidi"/>
          <w:b w:val="0"/>
          <w:bCs w:val="0"/>
          <w:caps w:val="0"/>
          <w:noProof/>
          <w:sz w:val="22"/>
          <w:szCs w:val="22"/>
          <w:lang w:eastAsia="en-US"/>
        </w:rPr>
      </w:pPr>
      <w:hyperlink w:anchor="_Toc98233616" w:history="1">
        <w:r w:rsidRPr="009560D7">
          <w:rPr>
            <w:rStyle w:val="Hyperlink"/>
            <w:noProof/>
          </w:rPr>
          <w:t>2</w:t>
        </w:r>
        <w:r>
          <w:rPr>
            <w:noProof/>
            <w:webHidden/>
          </w:rPr>
          <w:tab/>
        </w:r>
        <w:r>
          <w:rPr>
            <w:noProof/>
            <w:webHidden/>
          </w:rPr>
          <w:fldChar w:fldCharType="begin"/>
        </w:r>
        <w:r>
          <w:rPr>
            <w:noProof/>
            <w:webHidden/>
          </w:rPr>
          <w:instrText xml:space="preserve"> PAGEREF _Toc98233616 \h </w:instrText>
        </w:r>
        <w:r>
          <w:rPr>
            <w:noProof/>
            <w:webHidden/>
          </w:rPr>
        </w:r>
        <w:r>
          <w:rPr>
            <w:noProof/>
            <w:webHidden/>
          </w:rPr>
          <w:fldChar w:fldCharType="separate"/>
        </w:r>
        <w:r w:rsidR="005B4C81">
          <w:rPr>
            <w:noProof/>
            <w:webHidden/>
          </w:rPr>
          <w:t>7</w:t>
        </w:r>
        <w:r>
          <w:rPr>
            <w:noProof/>
            <w:webHidden/>
          </w:rPr>
          <w:fldChar w:fldCharType="end"/>
        </w:r>
      </w:hyperlink>
    </w:p>
    <w:p w14:paraId="591F660C" w14:textId="77777777" w:rsidR="00A239DA" w:rsidRDefault="00A239DA">
      <w:pPr>
        <w:pStyle w:val="TOC1"/>
        <w:tabs>
          <w:tab w:val="right" w:leader="dot" w:pos="6614"/>
        </w:tabs>
        <w:rPr>
          <w:rFonts w:asciiTheme="minorHAnsi" w:eastAsiaTheme="minorEastAsia" w:hAnsiTheme="minorHAnsi" w:cstheme="minorBidi"/>
          <w:b w:val="0"/>
          <w:bCs w:val="0"/>
          <w:caps w:val="0"/>
          <w:noProof/>
          <w:sz w:val="22"/>
          <w:szCs w:val="22"/>
          <w:lang w:eastAsia="en-US"/>
        </w:rPr>
      </w:pPr>
      <w:hyperlink w:anchor="_Toc98233617" w:history="1">
        <w:r w:rsidRPr="009560D7">
          <w:rPr>
            <w:rStyle w:val="Hyperlink"/>
            <w:noProof/>
          </w:rPr>
          <w:t>3</w:t>
        </w:r>
        <w:r>
          <w:rPr>
            <w:noProof/>
            <w:webHidden/>
          </w:rPr>
          <w:tab/>
        </w:r>
        <w:r>
          <w:rPr>
            <w:noProof/>
            <w:webHidden/>
          </w:rPr>
          <w:fldChar w:fldCharType="begin"/>
        </w:r>
        <w:r>
          <w:rPr>
            <w:noProof/>
            <w:webHidden/>
          </w:rPr>
          <w:instrText xml:space="preserve"> PAGEREF _Toc98233617 \h </w:instrText>
        </w:r>
        <w:r>
          <w:rPr>
            <w:noProof/>
            <w:webHidden/>
          </w:rPr>
        </w:r>
        <w:r>
          <w:rPr>
            <w:noProof/>
            <w:webHidden/>
          </w:rPr>
          <w:fldChar w:fldCharType="separate"/>
        </w:r>
        <w:r w:rsidR="005B4C81">
          <w:rPr>
            <w:noProof/>
            <w:webHidden/>
          </w:rPr>
          <w:t>13</w:t>
        </w:r>
        <w:r>
          <w:rPr>
            <w:noProof/>
            <w:webHidden/>
          </w:rPr>
          <w:fldChar w:fldCharType="end"/>
        </w:r>
      </w:hyperlink>
    </w:p>
    <w:p w14:paraId="591F660D" w14:textId="6F74CCAD" w:rsidR="00A239DA" w:rsidRDefault="00C657B9">
      <w:pPr>
        <w:pStyle w:val="TOC1"/>
        <w:tabs>
          <w:tab w:val="right" w:leader="dot" w:pos="6614"/>
        </w:tabs>
        <w:rPr>
          <w:rFonts w:asciiTheme="minorHAnsi" w:eastAsiaTheme="minorEastAsia" w:hAnsiTheme="minorHAnsi" w:cstheme="minorBidi"/>
          <w:b w:val="0"/>
          <w:bCs w:val="0"/>
          <w:caps w:val="0"/>
          <w:noProof/>
          <w:sz w:val="22"/>
          <w:szCs w:val="22"/>
          <w:lang w:eastAsia="en-US"/>
        </w:rPr>
      </w:pPr>
      <w:hyperlink w:anchor="_Toc98233618" w:history="1">
        <w:r>
          <w:rPr>
            <w:rStyle w:val="Hyperlink"/>
            <w:noProof/>
          </w:rPr>
          <w:t>About</w:t>
        </w:r>
        <w:r w:rsidR="00CE72BB">
          <w:rPr>
            <w:rStyle w:val="Hyperlink"/>
            <w:noProof/>
          </w:rPr>
          <w:t xml:space="preserve"> </w:t>
        </w:r>
        <w:r>
          <w:rPr>
            <w:rStyle w:val="Hyperlink"/>
            <w:noProof/>
          </w:rPr>
          <w:t>Author</w:t>
        </w:r>
        <w:r w:rsidR="00A239DA">
          <w:rPr>
            <w:noProof/>
            <w:webHidden/>
          </w:rPr>
          <w:tab/>
        </w:r>
        <w:r w:rsidR="00A239DA">
          <w:rPr>
            <w:noProof/>
            <w:webHidden/>
          </w:rPr>
          <w:fldChar w:fldCharType="begin"/>
        </w:r>
        <w:r w:rsidR="00A239DA">
          <w:rPr>
            <w:noProof/>
            <w:webHidden/>
          </w:rPr>
          <w:instrText xml:space="preserve"> PAGEREF _Toc98233618 \h </w:instrText>
        </w:r>
        <w:r w:rsidR="00A239DA">
          <w:rPr>
            <w:noProof/>
            <w:webHidden/>
          </w:rPr>
        </w:r>
        <w:r w:rsidR="00A239DA">
          <w:rPr>
            <w:noProof/>
            <w:webHidden/>
          </w:rPr>
          <w:fldChar w:fldCharType="separate"/>
        </w:r>
        <w:r w:rsidR="005B4C81">
          <w:rPr>
            <w:noProof/>
            <w:webHidden/>
          </w:rPr>
          <w:t>19</w:t>
        </w:r>
        <w:r w:rsidR="00A239DA">
          <w:rPr>
            <w:noProof/>
            <w:webHidden/>
          </w:rPr>
          <w:fldChar w:fldCharType="end"/>
        </w:r>
      </w:hyperlink>
    </w:p>
    <w:p w14:paraId="591F660E" w14:textId="798497E6" w:rsidR="00A239DA" w:rsidRDefault="00A239DA">
      <w:pPr>
        <w:pStyle w:val="TOC1"/>
        <w:tabs>
          <w:tab w:val="right" w:leader="dot" w:pos="6614"/>
        </w:tabs>
        <w:rPr>
          <w:rFonts w:asciiTheme="minorHAnsi" w:eastAsiaTheme="minorEastAsia" w:hAnsiTheme="minorHAnsi" w:cstheme="minorBidi"/>
          <w:b w:val="0"/>
          <w:bCs w:val="0"/>
          <w:caps w:val="0"/>
          <w:noProof/>
          <w:sz w:val="22"/>
          <w:szCs w:val="22"/>
          <w:lang w:eastAsia="en-US"/>
        </w:rPr>
      </w:pPr>
      <w:hyperlink w:anchor="_Toc98233619" w:history="1">
        <w:r w:rsidRPr="009560D7">
          <w:rPr>
            <w:rStyle w:val="Hyperlink"/>
            <w:noProof/>
          </w:rPr>
          <w:t>Acknowledgments</w:t>
        </w:r>
        <w:r>
          <w:rPr>
            <w:noProof/>
            <w:webHidden/>
          </w:rPr>
          <w:tab/>
        </w:r>
        <w:r>
          <w:rPr>
            <w:noProof/>
            <w:webHidden/>
          </w:rPr>
          <w:fldChar w:fldCharType="begin"/>
        </w:r>
        <w:r>
          <w:rPr>
            <w:noProof/>
            <w:webHidden/>
          </w:rPr>
          <w:instrText xml:space="preserve"> PAGEREF _Toc98233619 \h </w:instrText>
        </w:r>
        <w:r>
          <w:rPr>
            <w:noProof/>
            <w:webHidden/>
          </w:rPr>
        </w:r>
        <w:r>
          <w:rPr>
            <w:noProof/>
            <w:webHidden/>
          </w:rPr>
          <w:fldChar w:fldCharType="separate"/>
        </w:r>
        <w:r w:rsidR="005B4C81">
          <w:rPr>
            <w:noProof/>
            <w:webHidden/>
          </w:rPr>
          <w:t>20</w:t>
        </w:r>
        <w:r>
          <w:rPr>
            <w:noProof/>
            <w:webHidden/>
          </w:rPr>
          <w:fldChar w:fldCharType="end"/>
        </w:r>
      </w:hyperlink>
    </w:p>
    <w:p w14:paraId="591F6611" w14:textId="4CBFD52A" w:rsidR="006215EA" w:rsidRPr="001E2B9F" w:rsidRDefault="00EC6244" w:rsidP="00514526">
      <w:pPr>
        <w:rPr>
          <w:rStyle w:val="Hyperlink"/>
          <w:b w:val="0"/>
          <w:color w:val="auto"/>
          <w:u w:val="none"/>
          <w:lang w:val="en-AU"/>
        </w:rPr>
        <w:sectPr w:rsidR="006215EA" w:rsidRPr="001E2B9F" w:rsidSect="002063F9">
          <w:headerReference w:type="even" r:id="rId9"/>
          <w:headerReference w:type="default" r:id="rId10"/>
          <w:footerReference w:type="even" r:id="rId11"/>
          <w:footerReference w:type="default" r:id="rId12"/>
          <w:headerReference w:type="first" r:id="rId13"/>
          <w:footerReference w:type="first" r:id="rId14"/>
          <w:pgSz w:w="7920" w:h="12240"/>
          <w:pgMar w:top="936" w:right="864" w:bottom="792" w:left="864" w:header="360" w:footer="432" w:gutter="288"/>
          <w:pgNumType w:start="1"/>
          <w:cols w:space="720"/>
          <w:titlePg/>
          <w:docGrid w:linePitch="360"/>
        </w:sectPr>
      </w:pPr>
      <w:r w:rsidRPr="00FF4A04">
        <w:rPr>
          <w:rFonts w:ascii="Libre Baskerville" w:hAnsi="Libre Baskerville"/>
          <w:sz w:val="20"/>
          <w:szCs w:val="20"/>
          <w:lang w:val="en-AU"/>
        </w:rPr>
        <w:fldChar w:fldCharType="end"/>
      </w:r>
    </w:p>
    <w:p w14:paraId="347559CA" w14:textId="77777777" w:rsidR="001E2B9F" w:rsidRDefault="001E2B9F" w:rsidP="001E2B9F">
      <w:pPr>
        <w:rPr>
          <w:lang w:val="en-AU" w:eastAsia="zh-CN" w:bidi="ar-SA"/>
        </w:rPr>
      </w:pPr>
    </w:p>
    <w:p w14:paraId="591F6616" w14:textId="15025C66" w:rsidR="001E2B9F" w:rsidRPr="001E2B9F" w:rsidRDefault="001E2B9F" w:rsidP="001E2B9F">
      <w:pPr>
        <w:tabs>
          <w:tab w:val="center" w:pos="2952"/>
        </w:tabs>
        <w:rPr>
          <w:lang w:val="en-AU" w:eastAsia="zh-CN" w:bidi="ar-SA"/>
        </w:rPr>
        <w:sectPr w:rsidR="001E2B9F" w:rsidRPr="001E2B9F" w:rsidSect="002063F9">
          <w:pgSz w:w="7920" w:h="12240"/>
          <w:pgMar w:top="936" w:right="864" w:bottom="792" w:left="864" w:header="360" w:footer="432" w:gutter="288"/>
          <w:pgNumType w:start="1"/>
          <w:cols w:space="720"/>
          <w:titlePg/>
          <w:docGrid w:linePitch="360"/>
        </w:sectPr>
      </w:pPr>
      <w:r>
        <w:rPr>
          <w:lang w:val="en-AU" w:eastAsia="zh-CN" w:bidi="ar-SA"/>
        </w:rPr>
        <w:tab/>
      </w:r>
    </w:p>
    <w:p w14:paraId="4890ABD2" w14:textId="39ABF281" w:rsidR="00EC04E1" w:rsidRDefault="00EC04E1" w:rsidP="00EC04E1">
      <w:pPr>
        <w:pStyle w:val="Subtitle"/>
        <w:tabs>
          <w:tab w:val="left" w:pos="1115"/>
        </w:tabs>
        <w:jc w:val="left"/>
      </w:pPr>
      <w:r>
        <w:lastRenderedPageBreak/>
        <w:tab/>
        <w:t/>
      </w:r>
    </w:p>
    <w:p w14:paraId="591F6617" w14:textId="0259C2BE" w:rsidR="007C008C" w:rsidRPr="005B49CD" w:rsidRDefault="00F252E3" w:rsidP="005B49CD">
      <w:pPr>
        <w:pStyle w:val="Subtitle"/>
      </w:pPr>
      <w:r>
        <w:t xml:space="preserve">Chapter </w:t>
      </w:r>
      <w:r w:rsidR="005C50C7">
        <w:t xml:space="preserve">0</w:t>
      </w:r>
      <w:proofErr w:type="spellStart"/>
      <w:r>
        <w:t/>
      </w:r>
      <w:proofErr w:type="spellEnd"/>
      <w:r w:rsidR="003E1DFD">
        <w:t/>
      </w:r>
    </w:p>
    <w:p w14:paraId="591F6618" w14:textId="4342B63E" w:rsidR="007C008C" w:rsidRPr="005B49CD" w:rsidRDefault="00C657B9" w:rsidP="005B49CD">
      <w:pPr>
        <w:pStyle w:val="ChapterTitle0"/>
      </w:pPr>
      <w:r>
        <w:t xml:space="preserve">Introduction: Why No Money is No Excuse</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The Capital Myth: Debunking Your Biggest Excuse
Let’s put the most common real estate excuse in its grave: “I’d invest if I had more money.” The truth is that capital is never the main obstacle—execution is. After two decades, hundreds of millions in deals, and every possible market up and down, I’ve rarely seen anyone stopped by lack of funds. I’ve seen thousands stopped by lack of a plan, lack of hustle, and lack of belief.
If you’re reading this, you’ve probably watched countless YouTube gurus, downloaded a dozen “no-money-down” PDFs, and still haven’t pulled the trigger. You might even be angry or embarrassed, thinking the game is rigged for the already wealthy. The biggest lie in real estate—a lie that keeps average people broke for life—is that only those with piles of cash become investors.
I’ve closed deals using other people’s money when I was tens of thousands in debt. I raised private equity in the middle of market crashes. My operating principle is simple—money flows to execution and value, not to bank statements. If you can find deals, prove you know what you’re doing, and protect your investors, money never stays the problem for long.
The most important rule: Stop blaming lack of capital—start blaming lack of execution. Money is a tool, not a barrier. In every town in America, right now, there are private lenders, partners, equity funds, and sellers who will do business with you if you show them the right opportunity and a competent operator behind it.
You need to grasp this on a gut level: There are billions in untapped capital hunting for real estate returns, and the gap isn’t money—it’s operators. If you become the operator who understands risk, builds trust, and acts fast, you’ll never “need” your own cash again.
How to Approach Real Estate as a No-Cash Investor
Let’s call your bluff—if you claim to have “no resources,” you’re ignoring the greatest leverage points in the modern market. As a no-cash investor, your assets are knowledge, network, hustle, and execution speed. Your competitive advantage is that you can do things big institutions, slow friends-and-family investors, and “analysis paralysis” types never will.
Successful no-cash investors attack the game from three angles: building deal flow before capital, mastering credibility and risk reduction, and engineering true win-wins. Instead of starting with “How do I save $50K?” you focus on “How do I find a deal a real lender or partner can’t ignore, lock it down quickly, and build a relationship for life?”
You’re no longer a beggar, you’re a dealmaker. The entire point of this book: teach you exactly how to control deals without controlling the initial capital. That means scripting high-credibility calls, structuring legal contracts, demonstrating airtight due diligence, and presenting opportunities so good your network funds them on autopilot.
In 2025, new tools tilt the game further in your favor. AI can analyze neighborhoods and underwrite properties in seconds; you can find private lenders on social and niche sites that didn’t exist five years ago; and with the right blueprint, you can prove competence even with zero deals on your track record.
The other investors who still think “You need money to make money” are your future sellers—they’re out of the game, stuck with rusty tactics. Meanwhile, you’ll be closing properties they only dream about.
This approach demands ruthless honesty. If you’re short on cash, you need to be long on value, speed, and solutions. When you control the deal, you control the conversation—and the leverage flips in your favor.
The Blueprint: What You’ll Learn and Execute
This isn’t just theory—this is a war-tested field manual on dominating real estate with none of your own money. Every chapter is an actionable lever. Every tactic shown has put real cash in my investors’ hands in real markets. You’ll copy the systems, scripts, and mindsets my top-performing students used to fund their first five, ten, or twenty deals from a standing start.
The book breaks it down into three core engines: assembling the right investor identity and mindset, commanding a modern creative financing toolkit, and building unbreakable trust with lenders, sellers, and partners. If you follow along step by step, in seven days or less, you’ll be able to pitch, secure, and move on a real deal—even if you’re starting with less than $500 in your account.
You’ll destroy the inertia that keeps average people out of the market. You’ll learn how to control outcomes when traditional lenders say “no,” when your network is skeptical, or when you’re terrified you don’t belong. I’ll give you the same playbook I built when I was flat broke and the banks laughed in my face.
The most valuable insight: Everything is a skill—credible dealmaking, private capital raising, pitch mastery, and risk management. You’ll stop wishing for someone else’s balance sheet, and instead build the muscle to attract capital and opportunities in any cycle, in any asset class.
Here’s what you’ll execute chapter by chapter. First, you’ll rewire your investor brain for action and confidence—even without prior deals. Then, you’ll master creative transaction structures: seller finance, hard money, private lenders, subject-to, JV deals, and more—each with field-tested templates and scripts.
You’ll learn how to assemble and activate a capital-friendly network, even if you’ve got zero contacts today. I’ll hand you high-conversion scripts for your first pitch, live objection handling, and trust accelerators to convert skeptics into check-writers. You’ll see how to find off-market deals (not just MLS dead-ends) and analyze them in minutes, not hours, so you can say “Hell yes” or “Hard pass” instantly.
When you’re ready to close, I walk you—step by step—through the process of executing your first zero-cash deal: transaction checklist, paperwork, inspection hacks, and what to do when the wire hits. After that, we scale: turning that first win into a deal machine that keeps compounding. I’ll flag the biggest growth traps—legal, tax, partnership mistakes—that can nuke everything if you don’t build smart from day one.
If you’re tired of excuses, if you want a path out of capital jail, you’re holding it. Every page was built to be actionable, digestible, and field-proven—nothing fluffy, nothing outdated, nothing you can’t use this week.
There are risks, there are setbacks, and there are doubters. But the single fact that should keep you moving: Average people with average networks are closing real estate deals every day in this country—because they’re executing the right blueprint.
If you finish this book and take action, you’ll never have to say “I wish I could invest—but I don’t have the money” again. From here on out, that excuse is over. The market doesn’t care if you have cash, but it always rewards execution. Welcome to the other side. Now let’s get to work.</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The Capital Myth: Debunking Your Biggest Excuse; How to Approach Real Estate as a No-Cash Investor; The Blueprint: What You’ll Learn and Execute</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1</w:t>
      </w:r>
      <w:proofErr w:type="spellStart"/>
      <w:r>
        <w:t/>
      </w:r>
      <w:proofErr w:type="spellEnd"/>
      <w:r w:rsidR="003E1DFD">
        <w:t/>
      </w:r>
    </w:p>
    <w:p w14:paraId="591F6618" w14:textId="4342B63E" w:rsidR="007C008C" w:rsidRPr="005B49CD" w:rsidRDefault="00C657B9" w:rsidP="005B49CD">
      <w:pPr>
        <w:pStyle w:val="ChapterTitle0"/>
      </w:pPr>
      <w:r>
        <w:t xml:space="preserve">The Investor Identity Shift: Mindset of the Capital Magnet</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From Beggar to Dealmaker: Upgrading Your Mental Operating System
If you want to play this game at a high level without your own cash, the transformation must start in your head—not your wallet. Most would-be investors approach money with a beggar’s mentality. They subconsciously frame themselves as unproven, under-resourced, and desperate—then wonder why friends, lenders, or sellers run the other way. There is no way around it: the capital magnet mindset is non-negotiable.
The rookie enters every conversation hoping someone will “give” them a shot. The operator enters every interaction knowing they are providing a pathway to create value, opportunity, and serious returns. This single shift—from taking to delivering—will do more for your ability to magnetize capital than any deck, spreadsheet, or script. Money flows to competence, clarity, and confidence—never to neediness.
I’ve watched investors cure decades of money anxiety in thirty days, simply by training themselves to lead every negotiation from a position of equal worth. When you call a potential lender, you’re not a supplicant. You’re an operator matching capital to opportunity. Your job is to vet their fit just as hard as they vet yours. Never forget: you are partnering, not begging.
The most important mindset upgrade: Adopt the attitude that you’re doing an investor or lender a favor—offering access to something they can’t find on their own. They have capital sitting idle, losing value to inflation. You have time, skill, hustle, and the willingness to do the work. If you don’t act like it’s a win-win, they’ll smell your uncertainty and vanish.
Here’s your first week’s assignment: Kill all “let me prove myself to you” language. Replace it with “let’s see if this is a fit for both of us.” This is not semantics; it’s the DNA of every great capital raiser I’ve worked with. You have to believe in your value first, or no one else will.
Scarcity vs. Leverage: How Savvy Investors See the Game
Let’s destroy another myth: that “not enough money” is a permanent state. In 2025, leverage—not capital—creates scale and freedom. The wealthy don’t use their own money because it’s simply too inefficient. They use other people’s resources, time, and bank debt—not as a last resort, but as the core of their operation. You must think and behave the same way, regardless of your bank balance.
Average investors see capital through the lens of scarcity. “There isn’t enough, so I’ll never get started.” Elite investors see capital as leverage. “If I control the deal, I can control the resources.” The difference is total. One mindset is stuck in limitation; the other engineers options and wins.
Let’s be crystal clear—there are hundreds of billions sitting in retirement accounts, brokerage funds, and bank CDs earning less than inflation. That capital is hungry for places to go, and it flows to whoever makes the offer with the most competence and the least friction.
The only reason anyone feels “not enough” is because they don’t know how to make themselves and their deal irresistible. You become irresistible by providing asymmetric upside, protecting people’s downside, and never acting desperate. I’ve raised millions from everyday professionals—engineers, dentists, and frustrated landlords—simply because I positioned myself as the key to multiplying dollars they didn’t know how to put to work.
Understand this: Money is not scarce. Operator skill, leadership, and trustworthy execution are. The more you act like an owner and expert—even while still learning—the faster the opportunities come.
Case Study: Zero-Cash to Deal Closer in 90 Days
Let me make this real. Two years ago, a young woman named Katrina, age twenty-nine, came to me in a panic. She had zero own funds, $14,000 in student debt, and a six-year streak of telling herself she’d “start when I saved enough.” What changed? She abandoned the scarcity mindset I just described and went all-in on the capital magnet identity.
Step one: Atomic accountability. For ninety days, she tracked every investor conversation, practiced “fit” language, and studied local deals like it was a full-time job. She ignored gurus who told her to pitch only warm contacts. By her second week, she’d sent five emails and LinkedIn messages a day to local business owners, dentists, and lawyers with money sitting stagnant.
Step two: She swapped the “Will you help me?” scripts for “Here’s an opportunity: Are you looking for safe, above-market returns secured by real estate?” If they said no, she moved on—zero over-explaining, zero apologizing. In two months, she found a tired landlord looking to sell a duplex off-market for $235,000, with market rents set to increase in twelve months.
Step three: Katrina presented the numbers, not emotions, to a private lender sourced directly from her chiropractor’s office—someone with $90,000 in a self-directed IRA getting sub-4% returns. She outlined the DSCR, comps, construction plan, and her own plans for skin in the game by managing repairs personally. She didn’t pitch herself as desperate; she pitched herself as a key operator delivering a better return and full transparency.
The lender said yes. Forty-five days later, Katrina closed, with a 10% preferred return to her investor, $30,000 rehab budget, and zero dollars out of her own pocket. Rent increases boosted value by year two. She repeated the process, and by the end of year one, she controlled over $650,000 in property without ever pulling from her own checking account.
Here’s the profound insight: Execution, clarity, and a confident operator persona will magnetize capital—even if you never start with your own. Katrina’s only difference from the “scared and stuck” version of herself was mindset, daily action, and a willingness to let rejection bounce off her.
Techniques to Rapidly Build Confidence and Credibility Even With No Deals Closed
You don’t get credibility by having money. You get it by demonstrating risk IQ, doing your homework, and being easy to do business with. The greatest lever for beginner confidence is owning your process: “I do the work others avoid. I run my numbers, I protect investor capital, and I communicate everything upfront.”
Every zero-cash investor I’ve worked with built confidence by stacking three habits. First, they practiced underwriting three deals every morning—using data tools to estimate ARV, repair scope, and exit options. They didn’t just look at deals, they ran the whole plan: offer price based on MAO formula, backup exit if plan A failed, and transparent timelines.
Second, they role-played credibility-building scripts. “I solve problems for motivated sellers and safe returns for capital partners. Here’s my process for protecting your money and fixing distressed homes with upside." They didn’t fake numbers, but they did rehearse how to anchor trust and project leader-level calm.
Third, they overcommunicated with their network before asking for anything. Sharing one valuable market insight per week—by email, LinkedIn, or coffee chat—demonstrated they were the local expert in training, even before ever closing. Knowledge given freely creates massive perception of competence.
If you want to kill imposter syndrome, forget “fake it till you make it.” Instead, “do it until you own it.” Every small rep—analysis, accountability, sharing—makes you impervious to doubts, questions, and the inevitable “Tell me about your track record” grilling.
Overcoming Imposter Syndrome with Action and Accountability
Let’s deal with the elephant in the room: imposter syndrome. Nearly everyone feels it when trying to raise money for their first deal. Left unchecked, it’s fatal. But the most honest fix isn’t more motivation—it’s accountability. If you set a daily or weekly target for reach-outs, analysis, or learning sessions, you’ll rack up micro-wins, and those stack up fast into credibility.
Have a friend, fellow investor, or even a spouse act as your accountability partner. Commit to sending ten value-add emails or direct messages to potential capital sources each week—even if they ignore you at first. Report progress every Friday. No one wants to look like a flake to their own tribe, which is why these micro-deadlines so often produce transformation.
Every successful operator has gotten the “How many deals have you closed?” question in early meetings. The worst answer is to shrink, fidget, or bluff. The best: “My focus is obsessively researching, underwriting, and protecting investor capital in this ZIP code. Here’s the last five deals I analyzed, and why I passed or would have bought.” When you respect due diligence and share lessons learned, credibility follows, track record or not.
Take every rejection, critique, or ghosting as a rep—an exercise in getting tougher and clearer. When one doctor, business owner, or teacher says no, great. Move to the next. It’s not about you; it’s about fit. Detach from outcome, and results accelerate.
Case-Based Frameworks for Eliminating Fear of Rejection
Let me hammer this in with another true story. I mentored an engineer named Mike who spent a decade reading blogs, never acted, and worried he’d be “exposed” as a fraud if he ever asked someone else to trust him with capital. After a ruthless debrief, I forced him to rank every risk on paper: being rejected, being ridiculed, getting questions, losing money, going broke.
Once they were down in black and white, what scared him most was people saying no. Not bankruptcy, not lawsuits, not failing—just social discomfort. So we set up a system: For thirty straight days, Mike asked for meetings, offered value insights, and pitched opportunities to people who didn’t owe him the time of day. He collected seventy-eight no’s—but on number seventy-nine, he found a burned-out realtor who introduced him to a dentist wanting mailbox money.
People forget the math is on your side. You only need one “yes” to erase every “no.” The most important insight: Your confidence is not external, it’s engineered by tiny, repeated actions and surviving small doses of rejection.
Execution Summary and Next Steps
You can’t skip this chapter. If you want anyone—seller, partner, lender—to trust you with a check, you must first see yourself as the operator, not the outsider. That mindset can take you from “always wishing” to closing deals with other people’s money.
Start this week with practical actions: analyze five deals, reach out to ten potential investors (even if you’re “not ready”), and share one market insight with your network. Track every conversation and treat every rejection as momentum, not a verdict.
Mindset is your first funding tool. When you carry yourself like a capital magnet—disciplined, helpful, confident—capital follows. Scarcity is for bystanders. Leverage, relationships, and clear execution are for dealmakers.
Your identity shift is the fuel for everything that follows. Next, you’ll learn the tactical creative financing playbook. But without the operator mentality, all the strategy in the world is worthless. Anchor that, and you’re halfway home—even before you close your first deal.</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From Beggar to Dealmaker: Upgrading Your Mental Operating System; Scarcity vs. Leverage: How Savvy Investors See the Game; Case Study: Zero-Cash to Deal Closer in 90 Days</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2</w:t>
      </w:r>
      <w:proofErr w:type="spellStart"/>
      <w:r>
        <w:t/>
      </w:r>
      <w:proofErr w:type="spellEnd"/>
      <w:r w:rsidR="003E1DFD">
        <w:t/>
      </w:r>
    </w:p>
    <w:p w14:paraId="591F6618" w14:textId="4342B63E" w:rsidR="007C008C" w:rsidRPr="005B49CD" w:rsidRDefault="00C657B9" w:rsidP="005B49CD">
      <w:pPr>
        <w:pStyle w:val="ChapterTitle0"/>
      </w:pPr>
      <w:r>
        <w:t xml:space="preserve">Creative Financing 101: Mastering Non-Traditional Money</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Hard Money, Private Money, and Partner Equity: What Actually Works in 2025
Forget every outdated seminar pitch and Instagram hack. The money flowing into real estate in 2025 isn’t coming from your local bank branch—it’s coming from a messy ecosystem of hard money, private capital, and partners who want returns, not paperwork. If you crave certainty, predictability, and pure speed, you leverage this ecosystem or you get left behind.
Hard money lenders are still a backbone for zero-cash investors with an edge: their underwriting is deal-first, not borrower-first. They’ll fund 70-85% of purchase plus most of the rehab—metrics you can directly exploit. The big catch is the cost: today’s hard money sits at 10%–13% annualized interest and 2–3 points upfront, with tight timelines and zero forgiveness for mistakes. But if you’re confident on ARV, scope, and exit, speed and certainty have a price, and it’s a price worth paying to lock up a deal you can’t afford to lose.
Private money is the real force multiplier. You win here by being relentless at one thing—relationship-based execution. In 2025, business owners, doctors, attorneys, and high-earning professionals are sick of the stock market. They want passive, inflation-beating returns secured by collateral in their own ZIP code. They don’t want to become landlords, screen tenants, or deal with toilets. You position yourself as the operator who delivers mailbox money with transparency and protection.
The key difference between hard and private money is flexibility. You can negotiate terms, payment schedules, profit splits, and exit triggers with a private lender. If you build trust, you can structure pure debt, hybrid debt/equity, interest-only, or even back-end participation. Real numbers: in 2025, private lenders in secondary markets often accept 7–9% annualized returns on first-position loans—especially if you show airtight due diligence and a conservative MAO.
Partner equity is your third tool: find someone with cash and spare them the heavy lifting. In exchange, they take a slice of the upside while you operate. Equity partners are best used when you have a hard-to-fund deal (think heavy cosmetic flip, mixed-use, or a JV buy-and-hold where the DSCR is thin at closing but rental uptrend is obvious). The important caveat: delineate all responsibilities, decision-making, and exit structures in writing up front. Run everything by a lawyer and use a JV agreement—no handshake deals. The biggest rookie mistake is fuzzy partnership roles. Clarity protects all parties and prevents lawsuits later.
Seller Financing: How to Structure Win-Win Terms
Seller financing is the ultimate secret weapon for investors with brains but no cash. Most sellers want one thing: a path to their number with as few headaches as possible. If you can identify tired landlords, inherited property owners, divorcees, or anyone facing tax consequences, you have a seller-finance prospect.
Start every seller conversation with the pitch: “Would you consider taking payments for the full value of your property, if it puts more in your pocket over time?” Don’t overcomplicate the ask.
Seller finance wins on three levers: minimal down payment (sometimes as low as 2–5%), below-market interest rate, and creative amortization (balloons, interest-only periods, or flexible payoffs). In 2025, as rates swing and banks tighten, you can often convince sellers to take 4.5–6% note rates—way below most hard or private money.
Frame the deal in seller’s language, not yours: more money over time, lower tax burden, steady monthly income, no tenant headaches, and no more repairs. I’ve structured deals where the seller picked their monthly payment target for five years, with a balloon at year five paying off the remainder, ensuring the investor had positive cash flow from day one and the seller netted tens of thousands more than a lump-sum sale after realtor fees.
The pro move is layering creative terms. If the seller wants near retail price, you negotiate a long amortization or no payments for 3–6 months while you stabilize and turn around the property. Every term is negotiable except the MAO—never overpay, even with creative terms.
If the seller insists on a down payment and you have none, pair seller financing as a second position with a hard or private money first. As long as the numbers work, you can assemble a zero-down, high-leverage stack that leaves you controlling the property with little or no upfront cash.
Unconventional Sources: HELOCs, Business Credit, and Beyond
Everyone overlooks the creative use of non-property-secured capital: business credit cards, unsecured lines of credit, and home equity lines. The most important insight: If you demonstrate discipline and risk control, you can combine these sources for acquisition, rehab, and even gap funding faster than any bank loan officer can say “no.”
HELOCs are your friend if you (or your partners) already have equity in your home or investment property. In 2025, HELOCs still offer 7–9% rates and fast draws, with interest-only payments, making them vastly superior to cash-out refis for short-term flips or bridge loans. Pro tip: Even if you don’t hold property, your partner or private lender might—offer to share a piece of the upside in exchange for their HELOC funds.
Business credit cards and lines have exploded in the last three years, with fintech and small business banks offering $30K-$50K in startup lines to anyone with even basic credit. You can use these cards for earnest money, soft costs, light rehab, and marketing—especially on deals with fast turnarounds. Never use business cards for heavy CapEx, long holds, or tenant improvements—match duration of funding to duration of risk.
Don’t sleep on gap funding: friends, family, or “credit partners” often match small cash needs for earnest money deposits, inspection costs, or closing fees. I’ve helped new investors raise two or three $5K checks on a first deal—by presenting structured, time-bound notes collateralized against the property, even if they don’t cross the full purchase price threshold.
This is the world of deal stacking—where savvy operators combine sources, sequence their payments, and never put personal cash at risk. Risk control is everything. Never chase a deal so hard you ignore repayment term triggers, balloon risks, or variable-rate exposure. Professional operators analyze each deal with three questions: How will this money be repaid? What is the true worst case if everything goes sideways? Can I execute the plan and keep all partners informed, even when it hits the fan?
Case Files: Real Zero-Down Deal Structures (Templates Included)
Let’s anchor all this with field-tested deals you can copy right now. In Tampa, a first-time investor secured a distressed duplex for $205,000. The hard money lender funded 80% of acquisition plus $20K in rehab, leaving a $30K down payment requirement. With zero in his own account, he sourced a private lender through his local REIA who secured the down for a 10% note, 12-month term, and payoff on refinance. The result: the investor controlled the deal, made every payment on time, and exited with a $40K profit in six months. No personal cash, just execution.
In the Midwest, a seller reluctantly listed a fourplex for $420,000. The buyer offered asking price with 5% down, 5% interest, and a three-year balloon. The investor tied up $21,000 in earnest money, which was funded from a business line of credit. In the first months post-close, the cash flow covered the business LOC payments and netted $450/month after all expenses. The property will be refinanced as rents catch up, paying off the balloon with no long-term risk.
A more advanced play: Stacking a sub-2 acquisition with private money for turn costs. In Phoenix, I helped a new operator take over a tired landlord’s mortgage at 3.1% (original seller’s), with a $10K assignment fee. All-in capital needs: $23K. This was sourced through two business partners: one put up $10K from a HELOC, another used a zero-interest credit card. The contract and servicing agreement spelled out repayment sequence and partnership profit split—full legal documents, signed and notarized. Post-rehab, the home flipped for $82K net profit, split three ways.
The crucial lesson from these case files: There is always a structure if you know your terms, trust your numbers, and are relentless about value creation. You never “don’t have the money”—you only don’t have the operating plan and relationships yet.
Blueprints and Scripts for Approaching Private Lenders and Sellers
When you approach a private lender, frame with value, not need. An example first outreach: “I work with investors who want strong, secure returns in local real estate, hands-off. Are you open to a call to see if my process matches your investment goals?” If they respond, you move fast to a short call, ask about their targets (rate, duration, collateral), and pitch a deal only if it’s a real fit.
For sellers, keep it dead simple: “I solve tricky property problems for owners who want speed, as-is sales, and less tax hit. Would you be willing to discuss something outside the usual realtor route to get more at closing—potentially through payments over time?” Their answer dictates your script: ask, listen, and structure.
For HELOC, business credit, or gap lending, paint the terms in brutal clarity: “This funding would be used for XYZ, repaid from refinance or sale within six months, secured by lien, and with full paperwork from day one.” No fluff, no promises—just clarity and commitment.
Legal Landmines and How to Protect Yourself With Compliance-First Structure
If you half-ass compliance, you lose everything. Always document private loans with state-compliant promissory notes, recordable deeds of trust or mortgages, and—when using equity partners—an attorney-reviewed JV agreement or operating agreement. Never promise a fixed return if you’re offering equity. Never misrepresent risk, terms, or your operating history.
If you raise money from more than one person for a single deal, you might be crossing state securities laws. Check your state’s exemption rules, especially the difference between “friends-and-family” and public offerings. Get legal review before syndicating or pooling funds. It’s cheaper than a lawsuit.
Be transparent with every party—send regular written updates, create written repayment plans, and, if possible, escrow all disbursements for first-timers. Faking it works in TikTok videos, not in $100K transactions.
If you get stuck or confused, call the best local investor-friendly attorney you can find. The pros don’t nickel-and-dime on legal. Neither should you.
Final Word—Your 7-Day Action Plan
Here’s what you can execute immediately. Identify three hard money lenders in your city—call and learn their current LTV, rate, and turnaround time. List five potential private lenders from your extended network (doctors, business owners, professionals with cash). Analyze three deals where you could pitch seller finance or sub-2. Reach out and practice scripts on all three.
You won’t get every deal. But if you get one, you’ll never play the “I don’t have the money” game again. Creative financing is not a secret. It’s a set of habits, scripts, and structures that you can install right now, no excuses.
The most important rule in creative financing: Never overpay and never overpromise. Structure wins, speed wins, and clarity keeps you in the market as an operator—not a gambler. This is your toolkit. The rest is execution.</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Hard Money, Private Money, and Partner Equity: What Actually Works in 2025; Seller Financing: How to Structure Win-Win Terms; Unconventional Sources: HELOCs, Business Credit, and Beyond; Case Files: Real Zero-Down Deal Structures (Templates Included)</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3</w:t>
      </w:r>
      <w:proofErr w:type="spellStart"/>
      <w:r>
        <w:t/>
      </w:r>
      <w:proofErr w:type="spellEnd"/>
      <w:r w:rsidR="003E1DFD">
        <w:t/>
      </w:r>
    </w:p>
    <w:p w14:paraId="591F6618" w14:textId="4342B63E" w:rsidR="007C008C" w:rsidRPr="005B49CD" w:rsidRDefault="00C657B9" w:rsidP="005B49CD">
      <w:pPr>
        <w:pStyle w:val="ChapterTitle0"/>
      </w:pPr>
      <w:r>
        <w:t xml:space="preserve">Building Your “No Money” Power Network</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Who Has Real Money (and How to Attract Them)
You can’t raise a dime or close a deal unless you know exactly who you’re hunting. Most would-be investors send scattershot messages and wonder why nothing lands. The brutal truth: not everyone is your capital partner, and real money people can smell amateur hour from a mile away.
The pool you want: professionals (doctors, attorneys, business owners), executives with retirement accounts, small business owners, and experienced real estate veterans who are sick of “tenants and toilets” but still want exposure to property. These are the people who’ve been burned by the stock market, are sitting on home equity, or need passive income beyond their day jobs. They want security, simple terms, good returns, and peace of mind—not another job or another risky scheme.
There are two broad types: private lenders (seek safety and consistent returns) and equity partners (hungry for upside, willing to take more risk). The hard money crowd—organized private lenders and funds—are everywhere, but networking is about real relationships. Be blunt: the only way to access money is by showing up where it already circulates—local REIAs, business owner meetups, wealth management events, chamber-of-commerce socials, even higher-end fitness clubs.
You don’t need a huge network; you need twelve to twenty people who know, like, and trust you as someone who is reliable, detailed, and always delivers what you promise. Be hyper-selective about who you approach. Never start by asking for money—start by listening to their goals (“What does a good investment look like to you? Why haven’t you done more real estate?”). Be ruthless about fit: if their risk profile or expectations don’t match the deal, move on. The wrong partner is worth less than no partner at all.
Building a Credible Brand from Zero—Online and Offline
No network, no problem—until you fake it or flake out. If your only presence is an empty social media profile and awkward handshake, you’ll scare off real capital. In 2025, credibility is leverage. You need to build a “digital and analog” credibility stack starting now.
Online: Your profiles must show you’re a local operator who knows your neighborhoods, talks the numbers, and shares real market data—not memes or fluffy “mindset” content. Post market insights, share deal analyses, and comment on real estate attorney and lender posts. Two weeks of sharing “here’s how I’m underwriting a deal today” beats years of silence.
Offline: Show up in person. This isn’t Instagram DM roulette. Go to every local real estate, business, and entrepreneur event within driving distance. Your intro isn’t “I’m looking for investors.” It’s “I help professionals secure high-yield returns on real estate without dealing with tenants or repairs. What’s been your experience with property investing?”
Create a one-page “Credibility Kit” (digital and print): high-level market stats, a sample deal analysis, your repeatable process for protecting investor cash, and, if you have one, a short testimonial from someone who’s worked with you in any business context—doesn’t even need to be real estate. You’re building trust that you’re organized, committed, and act with integrity.
Branding is about consistency and clarity, not flash. Every interaction sends a signal. Are you learning and executing, or only talking? Are your profiles up-to-date, or do you look like you disappeared after a single post? Do you follow up fast and share information proactively? Investors give money to operators who are always there, always clear, and always moving.
Trust Accelerators: Rapid Credibility-Building Tactics
First impressions aren’t just reputation—they’re everything. If you look, sound, or act like a rookie, you lose before you begin. The fastest way to accelerate trust: deliver insights, not asks, right from first contact. Treat every interaction as an opportunity to give, not take. The most important rule: give specific, valuable information about your market or process before ever asking for money.
Trust accelerators are small signals that hit hard. Pre-call email or text: “Here’s this week’s summary of best three single-family investment opportunities I’ve reviewed—do any jump out at you?” At in-person events: “Would you be interested in seeing quick breakdowns of off-market deals in our area once a week, no pressure?” If someone responds, you follow up every week whether they reply or not. Consistency wins.
Follow up meetings with a typed summary of what you learned about their investment goals and what you promised to do next. If you say you’ll send info by Wednesday, make sure it’s sent first thing that morning. If you promise to intro them to a contractor or insurance agent, do it within 24 hours.
When you meet someone “higher up the ladder” (experienced flipper, local developer, hard money pro), always ask what’s working in their business right now. Never try to impress—just extract one real lesson and share that with your audience or new contacts. This shows you’re a student of the game, not just a taker.
Don’t fake wins, don’t exaggerate, and never fudge your numbers. One slip-up and you’re done. Real investors prefer the phrase “Here’s what I learned from my last mistake” over “Everything I touch turns to gold.” You earn trust by admitting what you’re still learning, showing your checklist, and telling the truth about prior results.
The “third-party validator” is another essential tool. Get brokers, inspectors, or even reputable contractors to vouch that you’re diligent, disciplined, and always pay your bills. If possible, have a property manager or seasoned investor record a 30-second video or two-sentence email that you’re “the real deal on follow-through.” It’s your fastest shortcut into capital circles.
Scripts for First Meetings: What to Say, What to Send
Let’s get tactical—scripts that turn initial meetings into long-term capital relationships. In your first message or live conversation, use this approach: “Hi [Name], I work with local professionals who want to earn secure, above-market returns in real estate—totally hands-off—with full transparency and local control. Out of curiosity, have you looked at real estate lately as part of your portfolio?”
If the answer is “kind of,” ask: “What’s held you back from doing more?” or “How do you usually decide if an investment is a fit?” Shut up and listen—this tells you everything. If they immediately deflect, say: “No worries, I’m not raising for a specific deal right now. I just like to see what kind of investment opportunities professionals are considering.”
Post-meeting, always follow up: “Alex, great meeting you. As promised, here’s a deal summary from last week—purchase price, comp values, how I’d protect partner capital. If you ever want to walk through one of these deals in person or see the scope in real time, just let me know.” Attach your credibility kit or sample deal packet, PDF or short Loom video.
If there’s even a little interest, schedule a coffee/lunch or virtual call: “Would you want to see a real deal walkthrough on Friday over Zoom or meet for coffee? No pitch, but it’ll show you exactly how I structure, underwrite, and protect investor cash.” Never force a yes—keep the cycle light and respect their time.
At the next meeting: “Here’s how I break down a property, how I secured funding on my last deal, and why I passed or moved forward. My goal is to help people who are serious about earning, not just talking.” Share bad deals and why you passed. Transparency is magnetic.
If they want specifics: “I typically look for 8%–12% annualized returns with first-position liens, or equity splits on the upside if we lock in a joint venture. Every deal I propose is open-book—full documentation, access to the property, and regular reporting.” Make clear there are no surprises or pressure to invest. 
Never send legal docs, even samples, until someone is serious and qualified. Instead, send a “How I Manage Investor Risk” summary, showing step-by-step how you communicate, do due diligence, and keep everyone informed—even if it’s just a one-page checklist.
What Instantly Kills Trust—and How to Avoid Rookie Mistakes
Nothing sinks a would-be operator faster than flakiness, overpromising, or going silent after rejection. The fastest way to kill trust: promising returns, bluffing your track record, or acting desperate. When you miss a deadline, fail to communicate, or fudge your numbers, word spreads and your network dries up fast.
Never rush anyone or force ultimatums. Pros are allergic to pressure. If you ask for money and get “maybe,” always default to “No problem—let me send you the info weekly so you can watch how I do what I do over time.” The best capital partners often take months to move from introduction to wired funds. Play the long game.
Don’t pitch deals you don’t understand or control. Never share off-market deals without verifying numbers and walking the property or sending an inspector. If they sense you’re forwarding “deals” you copied from someone else’s list, they’re gone.
Failing to follow up or thank people for their time—even after rejection—costs future deals. Your name and reputation spread fast in investor circles. Even a simple “Thanks for the feedback, Alex—let me know if I can ever help with a contractor referral or free BPO” keeps doors open you’ll need later.
Most damaging of all: ignoring red flags. If a potential partner is combative, evasive, or unethical, walk away. Bad capital poisons deals and ruins reputations. Choose long-term trust over short-term dollars.
Execution—Building Your Power Network This Week
Here’s the bottom line: professional investors treat networking as an asset class. Set a goal to meet three new capital contacts this week. Go to one live event. Post one local market insight on LinkedIn, and send your best “deal summary” draft to two people you know are sitting on cash.
Track every interaction—what worked, who asked what, who showed real curiosity. Iteration is how you refine your story. Update your credibility kit after every meeting, and follow-up even with people who said no.
The most important lever: consistency. If you keep showing up with insight, transparent offers, and a real operator’s cadence, the right people will self-select as your capital partners. It’s not about scale today—it’s about stacking reputation, trust, and execution until the next deal funds itself.
Your network isn’t just social—done right, it’s an engine for closing deals fast, managing risk, and building wealth well beyond your own cash. Start building it now. This is the core multiplier for everything you’re going to do next.</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Who Has Real Money (and How to Attract Them); Building a Credible Brand from Zero—Online and Offline; Trust Accelerators: Rapid Credibility-Building Tactics; Scripts for First Meetings: What to Say, What to Send</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4</w:t>
      </w:r>
      <w:proofErr w:type="spellStart"/>
      <w:r>
        <w:t/>
      </w:r>
      <w:proofErr w:type="spellEnd"/>
      <w:r w:rsidR="003E1DFD">
        <w:t/>
      </w:r>
    </w:p>
    <w:p w14:paraId="591F6618" w14:textId="4342B63E" w:rsidR="007C008C" w:rsidRPr="005B49CD" w:rsidRDefault="00C657B9" w:rsidP="005B49CD">
      <w:pPr>
        <w:pStyle w:val="ChapterTitle0"/>
      </w:pPr>
      <w:r>
        <w:t xml:space="preserve">The Art &amp; Science of the Pitch: Turning Skeptics into Partners</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Deconstructing the Perfect Real Estate Pitch (Templates Included)
Most rookie investors screw up pitching because they think it’s about reciting their deal. The reality is, the perfect real estate pitch is a performance—clear, concise, data-backed, and engineered to lower the listener’s guard. You have one shot to turn a skeptic into a curious partner, and every word either moves them toward trust or pushes them away.
The perfect pitch doesn’t start with “I need money”; it starts with “Here’s a clear path to returns and protection that fits your goals.” Attention spans are shorter than ever in 2025, so you have under three minutes to get them leaning in. This means you open with impact, back up your plan with numbers, and show exactly how you protect their downside.
The pitch should have five sections, delivered smoothly and with absolute command. Start with a tight personal intro (“I help local professionals earn hands-off returns through single-family rentals or value-add flips—I do the work, you get the yield.”). Second, outline the deal in hard numbers: purchase price, ARV, rehab budget, timeline, exit strategy. Third, state your risk controls: your MAO calculation, DSCR minimums, conservative comps, and your safety nets if things go sideways.
Fourth, connect their goals to your solution—“You mentioned you want double-digit returns with full transparency; here’s how your capital would be structured and repaid, step by step.” Fifth, end with a question that moves the conversation forward. “Is this the type of deal and process you’d want to see more of?”
Every template should come with a one-pager: top five numbers (purchase, rehab, ARV, rent/exit, partner structure), a two-paragraph “plan for if things go wrong,” and your exact communication cadence (“Weekly deal updates, access to the property and budget, you’re looped in every step.”).
If this sounds simple, good. Simplicity signals competence. The best operators kill confusion and make the path from “What’s this?” to “I want in” crystal-clear.
Objection Handling in Real Time: Scripts for Common Pushback
No matter how slick your pitch is, expect at least two objections in every serious conversation. This is normal—the goal isn’t to “overcome” objections, but to prove you’re the operator who handles pressure with calm and facts. Every objection is a window into what worries your investor most.
The most common pushback: “What happens if you go over budget or can’t sell?” The proven response is: “Great question. I always build a 10% contingency into every budget, only make offers below my MAO, and have two exit strategies—if the flip stalls, we’ll rent for positive cash flow. Here’s a deal I managed where we hit a snag, and here’s how we protected capital and exited.”
Next classic: “I’ve heard horror stories of people losing their investment.” Don’t dodge—own it. “Absolutely, and that’s why I structure every deal with conservative leverage, first-position liens for lenders, and ongoing third-party reporting. You’ll get weekly updates and site access. Plus, I won’t ask for money on any deal I wouldn’t put my own family into.”
The passive-aggressive stall: “Let me think about it,” or “I’m not sure I’m ready.” Don’t chase or plead. “Totally understand. I’ll keep you on my insider list—every week I share the best deals I review, win or lose. If something matches your targets down the road, we’ll jump on a call. No pressure at all.”
If an investor demands higher returns: “I’m realistic about protecting capital first. If you’re looking for 20% or more, there are riskier plays out there—my model is steady, predictable, and transparent, with safety over sizzle. If that fits, great; if not, no hard feelings.”
If they grill your track record: “I believe in transparency. Here are sample deal packets from others I’ve analyzed or shadowed, showing how I underwrite and protect downside. I have mentors in the business and use their systems, and you have full access to every decision I make on your dollar.”
The insight behind every answer: You don’t have to “win” the argument—just show risk IQ, process, and no signs of fear or hype. Pros smell both. When you answer with detail and confidence, objections turn into curiosity or future partnerships.
Automation: AI-Driven Tools for Follow-Up and Presentations
Sloppy follow-up is the fastest way to lose a check. In 2025, your secret weapon is to systematize every interaction—no more lost leads, no more promises forgotten. A professional operator uses AI-driven CRMs, auto-reminders, personalized email drips, and virtual data rooms to keep every capital prospect nurtured and every deal tracked and documented.
After every meeting or call, your system should auto-schedule a personalized follow-up. The best platforms—like HubSpot, Pipedrive, or industry-specific options—let you log every call, schedule reminders, and send branded, templated recaps with attachments: deal summaries, rehab budgets, risk checklists, and the “Why You Win” page.
Leverage AI to write custom recaps, answer frequently asked questions, and segment your investors by risk tolerance or deal interest. For presentations, use dynamic slide decks or screen shares built off templates, with live links to Google Docs or secure folders housing all key documents (contracts, scope, budgets, third-party appraisals).
Never send raw spreadsheets—only clean, sharp presentations with redacted examples where needed. Always include a “questions we haven’t answered yet” section to show you invite scrutiny. The best operators make it easier for investors to say “yes” and even easier to say “no”—because you play the long game and want only the right partners at the table.
Most important: Once a deal goes live, your automation should send weekly updates, milestone checklists (“Demo done, roof on, tenant stabilized”), photo/video walkthroughs, and timelines. Transparency breeds trust, fear breeds ghosting.
Leveraging Tech for Credibility and Scalability in Capital Raising
Tech isn’t a gimmick—it’s your force multiplier. When you show an investor a secure dashboard with up-to-date documents, project photos, and regular status notes, you look like a $50M operator even on your fifth deal. The message is simple: “I’m disciplined. I care about communication. Your capital is treated like gold.”
Use tools like Loom or Vidyard to record short deal walkthroughs—send a two-minute explainer every time you send out a new opportunity. It personalizes your approach and builds instant credibility, no matter where your prospect is in the world.
AI-driven feedback on your pitch ensures you improve every week. Run your script or deck past free coaching tools, catch nervous tics, and upgrade your delivery. The strongest investors run “pitch sprints” twice a month—not just to perfect their deals, but to practice delivering calm, detailed answers under pressure.
Track every objection and question you get—note them in your CRM, spot patterns, and update your pitch and deal materials. Capital raising is iterative: the more you show you improve and listen, the more money comes your way.
Final Reality—The Pitch as Reputation Engine
Remember: whether someone cuts you a $100K check or just listens and walks, every pitch is a reputation event. You’re not just selling a deal, you’re selling yourself as the operator who does what they say, communicates relentlessly, and respects other people’s risk.
The perfect pitch is short, sharp, and full of reality—not fantasy. You answer objections before they’re even asked, automate your follow-up at every stage, and leverage tech to stay top-of-mind and project total professionalism.
If you stick to these frameworks and run the live reps, skepticism melts away through clarity, structure, and discipline. Turn enough skeptics into partners and your capital problems disappear—for good.</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Deconstructing the Perfect Real Estate Pitch (Templates Included); Objection Handling in Real Time: Scripts for Common Pushback; Automation: AI-Driven Tools for Follow-Up and Presentations</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5</w:t>
      </w:r>
      <w:proofErr w:type="spellStart"/>
      <w:r>
        <w:t/>
      </w:r>
      <w:proofErr w:type="spellEnd"/>
      <w:r w:rsidR="003E1DFD">
        <w:t/>
      </w:r>
    </w:p>
    <w:p w14:paraId="591F6618" w14:textId="4342B63E" w:rsidR="007C008C" w:rsidRPr="005B49CD" w:rsidRDefault="00C657B9" w:rsidP="005B49CD">
      <w:pPr>
        <w:pStyle w:val="ChapterTitle0"/>
      </w:pPr>
      <w:r>
        <w:t xml:space="preserve">Finding the Right Deals: The Leverage Multiplier</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Deal Types That Work Best with No Money Down
Let’s get direct—if you don’t have significant capital, you can’t chase every deal on the market. The key to winning is focus. Certain deal types are designed for high leverage and can be executed without personal cash: distressed single-family homes needing light-to-moderate rehab, small multifamily value-adds, tired landlord portfolios, and properties with built-in creative financing options (such as subject-to, seller-finance, or assumption of debt).
Distressed assets allow for deep discounts and attract motivated sellers willing to structure creative terms. Small multifamily (2–10 units) is perfect for no-money-down investors if rents are low versus market and there’s a clear plan to raise NOI—private money loves these stories. Tired landlords are gold because they want out, are open to terms, and often leave significant equity on the table for a smooth transition. If the listing mentions “as-is sale,” “must close quickly,” or “seller will finance,” you are in the right territory.
Avoid vanilla retail deals and turnkey properties sold by brokers—these kill leverage and require conventional financing. The most important rule: Only pursue assets where your ability to structure wins replaces your lack of personal capital.
AI, Data, and Modern Deal Sourcing Techniques
If you’re still relying on public MLS alerts or word-of-mouth from agents, you’re too slow and too late. The 2025 operator leverages AI, big data overlays, and niche search platforms to find deals before the herd. Let’s break down what works:
Use AI-powered tools like PropStream, DealMachine, Priced, and Privy. These platforms scrape public and private records for pre-foreclosures, probate, tax defaults, vacant homes, absentee owners, and landlords who haven’t raised rents in years—signals of distress and opportunity. Filter by equity levels, days on market, and absentee ownership for maximum leverage.
Set your geographic buy box tight—one city, three ZIP codes at the start. Hyperlocal focus means you operate with speed and precision. AI comping engines now analyze and recommend price points in seconds, freeing you for high-value activities—negotiating, building relationships, and structuring creative offers.
Skip generic list buying. Use tailored skip-tracing to contact owners directly. If the data says the property has been vacant 90+ days, hit them with a credibility kit and a soft, value-based intro: “I solve tricky situations for owners—sometimes with options that don’t require a big cash-out. Would you consider a fast, as-is transaction?”
Relentlessly stack these tools to create off-market campaigns, direct mail sprints, cold outreach, and automated follow-ups. The modern leverage play is to reach sellers three to six months before they even think about listing. The more hands-on you are with data and direct communication, the better your leverage over bigger, slower investors.
Build a short-list of “must-run” metrics for fast vetting: required equity percentage, local price-to-rent ratio, projected after-repair value, and a minimum cash flow margin (even after debt and all expenses). The goal is to kill losers quickly and devote 80% of your effort to the cream.
Quick Analysis: Killing Losers Fast, Doubling Down on Winners
Moneyless investing is a speed-and-filter game. No matter how strong your capital partners, wasting hours on dead-end deals kills your credibility and theirs. Your process should filter 90% of leads out in five to ten minutes.
Set hard buy box rules: property type, price cap, ZIP codes, equity minimum, motivated seller profile. Next, run a top-line analysis—current value, estimated ARV, renovation estimate, rent comp, and DSCR (Debt-Service Coverage Ratio). If anything doesn’t meet your target minimums, cut it.
Example: You get a four-unit listing at $350,000. You immediately check recent sales (AI tool or Redfin/Zillow), confirm rents are below market, and verify the seller’s motivation (tired landlord + “as-is”). You estimate ARV at $420,000 and new rents will support a DSCR &gt;1.3 at projected debt terms. If the numbers check out, you escalate to detailed underwriting. If not, it’s a pass—no emotional attachment.
Always ask three hard questions before moving forward: Can I control or delay earnest money? Can I get the seller to finance a portion or leave money in the deal? Can I bring in a private lender on terms safe enough for them without hurting the deal for myself? If the answer is “no” to all three, move on.
Winners are the properties where your capital structure can be creative, your numbers conservative, and the seller flexible. Double down on these, line up your team, and build your capital stack as soon as the deal pencils.
Risk Assessment: Protecting Your Lender and Reputation
In no-money deals, risk multiplies if you cut corners. Protecting both your capital partner and your own name should be non-negotiable. The most important way to win more deal flow is to never lose anyone’s cash or breach their trust.
Start with a brutal exit analysis—run your numbers as if everything goes wrong: ARV comes in 8% lower, rehab runs 15% over, days on market double. Does the deal still return principal and reasonable yield to your lender? Never fudge these calculations.
In your pitch deck and conversations, be absolutely transparent about budget contingencies, re-trade options, and back-up exits. If you’re flipping, can you rent and cash flow if the market shifts? If you’re holding, can you refi at a conservative LTV/DSCR when rates move? Always present your “plan B” and timeline to all partners before they wire a dime.
Use third-party reports to prove diligence: BPOs (Broker Price Opinions), contractor bids, property inspections, and, on multi-family, rent rolls and T12s. It’s better to scare a lender off with honesty than destroy your pipeline with a preventable loss.
Set up regular communication cadences—weekly project updates, progress photos, and transparent bad news reporting. Reputation is built in the tough times. If a deal faces delays or overruns, communicate before your partner has to ask.
Stack legal safety nets: lock in promissory notes, recordable liens, and—if doing a JV—full operating agreements. Protecting your lender’s capital in the legal stack is as important as protecting your own reputation in the market.
Hyper-Practical Checklist: No-Money-Down Deal Criteria
This is your battle-ready decision matrix for every potential deal. The property must be distressed or in the hands of a highly motivated seller, have clear upside through value-add, and the numbers must hold even if you’re fully leveraged with premium-priced debt.
ARV must be 20–30% higher than purchase plus all-in cost; you must be able to structure the down using hard/private money, seller finance, or another third-party gap funder; and the DSCR must exceed 1.25, even worst case.
You need a provable exit—refinance, flip, or stable long-term hold—with at least two recoverable strategies if plan A fails. Your own capital at risk should be zero or near zero, and your contracts must allow assignment or partnership, giving you operational leverage if better funders show up after the deal is locked.
Execution—Find and Analyze Your First Real Deal
Here’s what you do this week: Set your hyperlocal buy box. Subscribe to AI-powered deal sourcing tools, skip-trace absentee or distressed owners, and proactively outreach by phone, direct mail, or email. For every inbound, run your two-minute kill analysis: if it doesn’t clear your measure, move on. If it does, assemble your capital pitch, structure your deal stack, and validate every assumption with real data and third-party verification.
The new rule of real estate: In a world of algorithms, speed and specificity win. No-money-down is only possible when you are ruthlessly selective and execution-obsessed. Give your capital partners a better deal flow, lower risk, and constant transparency, and you’ll always have another wire waiting for your next opportunity.
The leverage multiplier is real. It’s in the deals you choose, not just the capital you raise. Nail your buy box, build your data muscle, and only chase winners you can fully control. From here, everything else gets easier—and more profitable.</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Deal Types That Work Best with No Money Down; AI, Data, and Modern Deal Sourcing Techniques; Quick Analysis: Killing Losers Fast, Doubling Down on Winners; Risk Assessment: Protecting Your Lender and Reputation</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6</w:t>
      </w:r>
      <w:proofErr w:type="spellStart"/>
      <w:r>
        <w:t/>
      </w:r>
      <w:proofErr w:type="spellEnd"/>
      <w:r w:rsidR="003E1DFD">
        <w:t/>
      </w:r>
    </w:p>
    <w:p w14:paraId="591F6618" w14:textId="4342B63E" w:rsidR="007C008C" w:rsidRPr="005B49CD" w:rsidRDefault="00C657B9" w:rsidP="005B49CD">
      <w:pPr>
        <w:pStyle w:val="ChapterTitle0"/>
      </w:pPr>
      <w:r>
        <w:t xml:space="preserve">Executing Your First Zero-Cash Close</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The Step-By-Step Transaction Blueprint (Contracts, Checklists, Communication)
Most investors trip at the finish line because execution—not funding or pitching—is where deals are won or lost. To close with zero personal cash, you need precise systems, perfect coordination, and the discipline to never skip a step. This section is your battle-tested blueprint for taking a deal from “accepted offer” to “money in the bank”—without risking your own funds or reputation.
Every zero-cash close starts with contracts that protect, not just promise. Sign only purchase and sale agreements with a realistic due diligence period (minimum 10 business days), right to assign, and—if possible—contingencies for financing and inspection. Never let anyone pressure you to sign “as is, no outs” unless you can take the loss. Always get your contracts reviewed by a local investment-savvy attorney, especially if you insert creative or multi-partner language.
Your deal checklist should cover every action, in order: earnest money deposit (how funded and by whom), submission of the purchase contract, initiation of due diligence, lender/partner capital commitment signed, title and lien search, insurance quote, contractor or inspector scheduling, final MAO analysis, and clear deadlines for all docs and wires. No mystery, no winging it, no “we’ll figure it out later.” Discipline breeds repeatable success.
From day one, communicate with every stakeholder: seller, title company, lenders, inspectors, JV partners, even contractors. Send each party a brief “This is the process, here are key dates, and here’s how you’ll hear from me” email or call. You’re not just managing a transaction—you’re proving you can quarterback a deal. This alone will build more credibility for future capital raises than any pitch deck or social post.
Your private capital must be papered in full. Use promissory notes, deeds of trust, security agreements, or JV operating agreements—never handshake, text, or “see you at closing.” Demand escrow for all funds until lender conditions are met. Set crystal-clear expectations: timeline, repayment, reporting frequency, collateral positions, and lien filings.
Due Diligence and Inspection Hacks—Protecting Against Gotchas
Most investors get killed by what they don’t see: undisclosed damage, title issues, inflated repair budgets, bad tenants, or surprise liens. Due diligence isn’t a formality—it’s your shield. Never cut corners, even if you’re desperate to close or the seller’s pressured you with “other buyers waiting.”
The first due diligence move is title and lien search—have your chosen title company scour for issues immediately. Demand seller disclosures on repairs, history, and occupancy. If anything looks odd (name mismatches, unpaid taxes, recent quit-claim deeds), flag it and slow down.
Hire an inspector or experienced contractor to walk the property top to bottom. If you’re flipping or gutting the asset, pay extra for a line-item, photo-documented scope of work—plumbing, HVAC, roof, foundation, everything. Don’t rely on seller estimates or free drive-bys, and do not start work until everything needed is on that inspection list.
For existing rentals or multifamily, inspect every unit and common area. Verify rent rolls and deposits by reviewing leases and cross-checking with tenant payments—don’t just take the seller’s word. Walk units with tenants or request video walkthroughs if out of state.
Crosscheck ARV and repair budgets using three sources: AI-powered analysis, your trusted agent or wholesaler, and your contractor’s estimate. If three numbers aren’t within 10%, you don’t have a real plan—pause and rework.
If you find surprises (you almost always will), immediately “retrade” with the seller or alert your lender. Be blunt: “The new numbers add $12,000 in foundation repair, so we need to talk price or credits.” Pros act fast and transparently; rookies pray the problem won’t get worse.
Order a GC or contractor to deliver a “punch list” of showstoppers (e.g., illegal additions, asbestos, electrical issues), and never accept “will fix after closing” promises in writing unless you have a legally binding agreement and escrows set up. Skill in due diligence is what keeps you in business and gives capital partners the confidence to back you again.
Your First Disbursement: What to Do Once You’ve Secured Funds
Once your lender wires funds or your partner commits to the capital stack, the clock is ticking—both on money cost and reputation. You need a repeatable sequence to manage funds and maximize every dollar.
Start by confirming your title company or attorney has received all needed wires in escrow—not in your business or personal account. Match every disbursement to a contract line item: earnest money, closing costs, initial repairs. Never use private funds for personal expenses or floating costs outside the deal. A reputation for discipline gets you funded again.
Immediately after close, send your lender or partner a post-closing summary: “Deal closed as planned, here’s a recap of final purchase price, repair estimate, and wire confirmations. Here’s your updated timeline for construction, reporting cadence, and next major milestone.”
Schedule weekly or milestone-based updates. Include project photos, receipts, contractor invoices, and before-and-after updates where possible. If you have a delay or cost overrun, tell your capital partner immediately. Transparency is your only play—no gambling with silence or vague updates.
Start the renovation or reposition strategy with full scope, detailed budget, and signed GC contracts. If you don’t have project management experience, walk the site weekly with your contractor or use a trusted project manager. Document everything and share it with partners, even if only digitally.
Keep records of every ACH or check disbursement, invoice, and contract change order. Never pay for work not done—even if pressured by contractors or sellers. Over-communicate with your team and lender; if construction slips or market shifts, call it out early and co-create a solution.
The first week after close is the time to set standards. Careless mistakes become viral in investor circles, while great communication and project discipline become your best future pitch.
First Week, First Month: How to Deliver and Over-Communicate Post-Close
You closed the deal and funds have been used, but your work isn’t done. The difference between an amateur “deal-taker” and an operator is relentless delivery, even after the wire hits.
Week one: Send a comprehensive “Here’s what’s happening” update—photos, contractor meeting notes, and any surprises or delays. Address problems head-on, don’t delay or hide. Confirm every party—lender, seller, contractor, property manager, and title—knows every major timeline milestone.
Set up your tracking dashboard (Google Sheet, Monday.com, or specialized RE project management app) and give viewing access to your capital stakeholders. They should never need to chase you for information. Your process should feel like you’re managing a $10M project, even if it’s a $100K duplex.
Every week for the first month, summarize wins, issues, and next steps for your partners. The most important discipline: communicate bad news before anyone has to ask, and always outline what you’re doing to course-correct.
If you hit or exceed your targets, share the win with every partner or loan source. If you miss, own it and show next steps. Reputation is built fastest in how you handle adversity, not just success.
For hold deals, turn over to the property manager with full SOPs, lease copies, and vendor contacts. For flips, begin lining up agents, marketing, and final punch-list well before construction is finished. The operator who finishes deals early or on time, with full documentation, always attracts the next check.
Protecting Your Investor and Setting Up for Repeat Success
Every zero-cash close, handled with discipline and transparency, is a springboard for the next deal. Investors don’t stay with operators who just “get the money”—they stay with those who deliver outcomes, solve problems, and never hide mistakes.
Save every document, email, photo, and update. Build a project archive you can use in your next credibility kit or deal pitch. The more you can say “here’s the exact process and track record,” the easier it is to fund and close deals on better terms moving forward.
Finish every project with an “after action” wrap-up: recap the deal, lessons learned, wins, and things you’d handle differently. Ask your lender or partner for a brief testimonial or reference—these are your most valuable assets for scaling your business.
The ultimate lesson is simple: The close isn’t the end; it’s the audition for every future deal you’ll ever fund. Execute tightly, communicate relentlessly, and build an operating standard no one can question. This is how zero-cash investors become money magnets in any market.</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The Step-By-Step Transaction Blueprint (Contracts, Checklists, Communication); Due Diligence and Inspection Hacks—Protecting Against Gotchas; Your First Disbursement: What to Do Once You’ve Secured Funds</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7</w:t>
      </w:r>
      <w:proofErr w:type="spellStart"/>
      <w:r>
        <w:t/>
      </w:r>
      <w:proofErr w:type="spellEnd"/>
      <w:r w:rsidR="003E1DFD">
        <w:t/>
      </w:r>
    </w:p>
    <w:p w14:paraId="591F6618" w14:textId="4342B63E" w:rsidR="007C008C" w:rsidRPr="005B49CD" w:rsidRDefault="00C657B9" w:rsidP="005B49CD">
      <w:pPr>
        <w:pStyle w:val="ChapterTitle0"/>
      </w:pPr>
      <w:r>
        <w:t xml:space="preserve">Scaling Up: From One Deal to a Cash Machine</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Repeatable Systems: Templates, Automations, and Team Building
Every single deal you close is a proof of concept for scale. If you’re still operating from memory, sticky notes, or one-off texts after your second deal, you’re holding yourself back from real expansion. The secret weapon for scaling isn’t a new funding trick—it’s systemization.
Start with templates. Create standard operating procedures for every repeatable action: deal analysis checklists, funding request emails, investor updates, inspection scheduling, and contractor management. Digitize these templates in a shared drive. Your process should feel like a franchise playbook. This is how you go from hustling one-off deals to managing five, ten, or forty doors at once.
Next, automate your inputs. Use a CRM designed for real estate—Pipedrive, HubSpot, or specialty tools like REsimpli—so no investor profile, lender relationship, to-do, or deal note slips through the cracks. Set triggers for every major milestone: follow-up reminders, contract deadlines, proof-of-funds requests, and capex approval. Automation multiplies your available hours and eliminates human error.
Project management is your leverage point. Use tools like Monday.com or Asana for visual tracking of every project phase—from contract to close to rehab to refi or sale. Assign tasks to yourself and, as your operation grows, to a virtual assistant or project coordinator. Your dashboard should let you see deal status, capital stack, outstanding vendor payments, and investor reports at a glance.
Team building is not just for big players. As soon as you have two or more projects, go part-time with a bookkeeper and a virtual assistant, even if it’s just five hours a week. Have your VA build out deal packets, pull comp reports, or chase up signatures. A skilled bookkeeper reconciles every transaction, flags missing invoices, and keeps your partners’ capital protected and accounted for.
Scaling is about building your business so it runs on rails without you burning out or dropping balls. If an operator in your market is closing more deals with less stress, it’s not because they hustle harder—they have tighter systems.
Stacking Credibility and Expanding Your Capital Network
Every closed deal, big or small, is a powerful marketing asset—you need to weaponize it. The only way to stack credibility in the capital game is relentless documentation, sharing, and accountability.
Turn every investor success story into a case study you can share (with permission). Include key numbers: funding structure, exit, return, and risk management. Share these on LinkedIn, at meetups, in your deal packets, and with lenders in your follow-up newsletters. Social proof builds on itself—the more your name is associated with transparent wins, the faster your reputation snowballs.
Expand your network methodically. Set quarterly targets: how many new lenders do you want in your CRM, how many “second-tier” capital partners are ready for your next round, and how many JV partners are qualified for bigger deals? If you’re not growing your list, you’re shrinking it.
Leverage every “no” as a network opportunity. If someone passes on a deal, still send them quarterly updates and valuable data insights. People move at their own pace. Plant seeds and let them grow—many of my biggest checks came from prospects who watched me execute for twelve months before finally raising their hand.
Get on panels, podcasts, and webinars—either as a guest or by creating your own. Host monthly “Deal Night” Zoom calls for your network. Make participation low pressure, but always bring just enough data and analysis to show you are the go-to operator for no-money-down and creative capital deals.
Most importantly: always ask for introductions. Every lender knows other lenders. When you close a positive deal, ask “Who else do you know who’s frustrated by low CD rates or looking to get into property without direct ownership headaches?” Capital compounds fastest when you work the referral game systematically.
Avoiding the Growth Traps: Legal, Tax, and Partnership Pitfalls
Rapid scaling destroys as many operators as it makes rich. Ignore legal, tax, and partnership structure at your own peril. The first growth trap to avoid—mixing personal and investor funds. Always use separate business accounts, with clean records for every dollar in and out. This protects you in an audit and removes doubt from partners.
Don’t get reckless with promissory notes or JV agreements. Every capital arrangement must be documented. Use state-compliant promissory notes, operating agreements, and—when necessary—worksheets for profit distributions or waterfalls. Get an investor-friendly attorney to review anything new or complex before capital hits your account.
Tax time becomes a disaster for DIYers at scale. Hire a CPA with investment property experience no later than your third deal. Set up your LLC structure and map out how you’ll handle distributions, K-1s, and depreciation. Taxes can kill cash flow if you miss deadlines or lose track of deductions and basis.
Partnerships can be a blessing or a bomb. Always clarify: Who makes decisions? Who controls the bank account? What happens if a partner wants out mid-deal? Lay out the “break glass” scenario in every JV agreement. If trust cracks, the entire enterprise can implode, so overcommunicate and document every decision.
Legal exposure grows with volume. As you start stacking projects, get umbrella policies, review your E&amp;O and landlord insurances, and do annual legal check-ups. Mitigate risk before it metastasizes—ask your attorney each year what’s changed in the law or market that could bite you. If you get a bad feeling—or the deal feels too rushed—hit pause and confirm your compliance before moving money or closing.
Simple Automations and Frameworks to Scale Deal Volume Fast
Real scale is built on “rinse and repeat.” Take your best-performing deal structure—down payment source, lender terms, rehab process, communication cadence—and make it your default. Don’t reinvent the wheel every deal. Have adjustable templates for private lender presentations, seller finance term sheets, and rehab/construction SOWs.
Automate capital partner onboarding. Use DocuSign or similar for quick execution of legal docs, and calendar-integrated tech to ensure everyone gets welcome emails, project start notes, and milestone reporting on autopilot. This frees time, reduces missed steps, and keeps partners feeling “in the loop.”
Add AI-driven deal screening to your toolkit. Feed every lead through your custom criteria in PropStream, Mashvisor, or a dedicated spreadsheet that color-codes “go/no-go” in seconds. Delegate time-consuming first-round diligence to VAs or junior partners—you focus only on deals that hit the top tier.
Schedule a weekly “deal huddle” with your team, formal or informal. Run through every live deal, checklist, open item, and next step. If you’re solo, record yourself and review your performance—AI tools now analyze your business “game tape” for missed patterns and bottlenecks.
Leverage recurring checklists for closings, onboarding, and post-close reporting. A system that everyone can reference guarantees that as you grow, the quality and pace stays consistent. If a step fails, update the framework before doing the next deal.
Leveraging Small Wins to Snowball Bigger Capital and Larger Deals
If you’re disciplined, every close turns into reputation, every reputation into capital, and every capital boost into higher-value opportunities. The real compounding starts not at deal number one, but at deal numbers five, ten, and beyond. 
After each successful deal, circle back to every lender—debrief outcomes, get a testimonial, and share a candid “what worked, what didn’t” review. Humility and learning attract mature capital that wants operators over hype merchants.
Stack wins by sharing proof. “We delivered on time and on budget in Q1” isn’t just a brag; it’s the social currency that gets you better terms on round two. Advanced capital partners care more about your communication and discipline than your original resume.
Target a “jump” project after three to five deals: move from $200K houses to $1M small apartment complexes or portfolios. This lets you modularize your process, leverage local team members, and syndicate deals with increasing sophistication—but only when your systems and discipline are ready to absorb the new workload.
Scaling is a self-fulfilling flywheel: better deals attract smarter money, which unlocks larger deals, which enable further credibility and network growth. Each win must be harvested for maximum network effect.
Building Long-Term Safety Nets: Legal Foundations and Risk Controls
Scaling is pointless if one lawsuit, tax lien, or partnership blow-up can wipe you out. The final lever—the one amateurs skip—is insulation.
Install strict separation between entities. Each property or syndication needs its own LLC where practical. Big investors use holding companies and management entities for a reason: lawsuits and debts get capped at the project, not the operator’s home or next deal.
Keep your legal library tight. Have a digital folder for every important contract, report, lender note, and insurance certificate. Update annually and make sure your legal and accounting partners have access for audit or compliance reviews.
Refresh your insurance stack every time you cross a new deal threshold or add team members. As the number of doors grows, your loss exposure rises. Operators who ignore umbrella policies and liability add-ons eventually regret it.
Run annual “disaster drills” internally: What if construction halts, rates spike, a lender calls a loan due, or a partner dies? Have written “if/then” plans for every high-severity risk and share them with your lawyer and CPA. Peace of mind turns you into the calmest, most effective decision-maker when stress levels spike in the real world.
Execution—Your Next Seven Days of Scale
Right now, identify the three biggest system gaps in your process. Is it disorganized deal notes? Investor onboarding? Contractor management? Automate or template that pain point. Update your CRM or project tracker to reflect every live deal, and set a recurring calendar or team meeting—even solo—to force accountability.
Circle back after every close. Book an hour to review what broke or stalled, then add new steps or checks to your frameworks. If you feel overwhelmed, delegate one role—bookkeeping, basic research, or investor communications—and free yourself to run more high-value activity.
Scaling isn’t magic. It’s just ruthless process, multiplied by creative deal-making and continuous refinement. The most important thing: keep your word, keep your records, and keep the capital you’ve attracted protected and informed.
When you master this, scaling becomes inevitable. Execution and repeatability don’t just fund your next deal—they give you the leverage to build an empire that runs with or without you. That’s how no-money investors go from surviving to compounding, and there are zero shortcuts. Build it right and the market, the capital, and the freedom all follow.</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Repeatable Systems: Templates, Automations, and Team Building; Stacking Credibility and Expanding Your Capital Network; Avoiding the Growth Traps: Legal, Tax, and Partnership Pitfalls</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591F6617" w14:textId="0259C2BE" w:rsidR="007C008C" w:rsidRPr="005B49CD" w:rsidRDefault="00F252E3" w:rsidP="005B49CD">
      <w:pPr>
        <w:pStyle w:val="Subtitle"/>
      </w:pPr>
      <w:r>
        <w:t xml:space="preserve">Chapter </w:t>
      </w:r>
      <w:r w:rsidR="005C50C7">
        <w:t xml:space="preserve">8</w:t>
      </w:r>
      <w:proofErr w:type="spellStart"/>
      <w:r>
        <w:t/>
      </w:r>
      <w:proofErr w:type="spellEnd"/>
      <w:r w:rsidR="003E1DFD">
        <w:t/>
      </w:r>
    </w:p>
    <w:p w14:paraId="591F6618" w14:textId="4342B63E" w:rsidR="007C008C" w:rsidRPr="005B49CD" w:rsidRDefault="00C657B9" w:rsidP="005B49CD">
      <w:pPr>
        <w:pStyle w:val="ChapterTitle0"/>
      </w:pPr>
      <w:r>
        <w:t xml:space="preserve">Conclusion: Rewire Your Destiny—Your First No-Money Deal Is Just the Start</w:t>
      </w:r>
    </w:p>
    <w:p w14:paraId="591F6619" w14:textId="77777777" w:rsidR="007C008C" w:rsidRDefault="007C008C" w:rsidP="007C008C">
      <w:pPr>
        <w:pStyle w:val="Quote"/>
      </w:pPr>
    </w:p>
    <w:p w14:paraId="591F661A" w14:textId="77777777" w:rsidR="007C008C" w:rsidRPr="00C1574A" w:rsidRDefault="007C008C" w:rsidP="007C008C">
      <w:pPr>
        <w:pStyle w:val="firstparagraph"/>
        <w:rPr>
          <w:rFonts w:ascii="Open Sans" w:hAnsi="Open Sans" w:cs="Open Sans"/>
        </w:rPr>
      </w:pPr>
    </w:p>
    <w:p w14:paraId="591F661B" w14:textId="52F92C2C" w:rsidR="002653E2" w:rsidRDefault="002653E2" w:rsidP="00977223">
      <w:pPr>
        <w:pStyle w:val="firstparagraph0"/>
        <w:ind w:firstLine="432"/>
        <w:rPr>
          <w:rStyle w:val="mainbodyChar"/>
        </w:rPr>
      </w:pPr>
      <w:r>
        <w:rPr>
          <w:rStyle w:val="mainbodyChar"/>
        </w:rPr>
        <w:t xml:space="preserve">Making the Leap from Reader to Action-Taker
You’ve navigated through frameworks, tactics, and the truth behind no-money investing. None of it matters unless you take the leap from passive reader to relentless operator. There’s no shortcut and absolutely no magic; the only difference between investors closing deals and those still on the sidelines is execution.
The most important rule: Nothing you’ve learned in this book works without direct action. Every page was designed to give you levers you can pull in real life, not just mental stimulation or motivation. If you want to escape analysis paralysis, pick a seven-day window—this week, not someday. Commit to at least one daily action: analyze a deal, DM a lender, call a seller, send your credibility kit, practice your pitch, or visit a local REIA. You’re not waiting for perfect—progress is your new standard.
Your first win won’t be pretty or smooth. It doesn’t have to be. Mistakes and stalls are the cost of admission. The real tragedy isn’t losing a deal; it’s never being in the game because you let fear, doubt, or “someday” thinking hijack your shot at freedom.
Next-Level: Building a 7-Figure No-Cash Portfolio
The first zero-cash deal creates the only asset that matters: proof of execution. Don’t coast or sabatoge yourself after the first closing. Systematize the process you just used and push to do three more as fast as you can. Momentum builds reputation, and reputation multiplies your network and your deal flow.
Scaling to seven figures isn’t rocket science; it’s aggressive repetition and relentless operational discipline. Take your best-performing structure—whether it’s seller financing, private money, sub-2, or a creative hybrid—and turn it into a template that you run by default. Each closed deal gives you more leverage for better terms on the next one—more equity, lower rates, less skepticism. Your portfolio grows fastest when you create a feedback loop: execute, document, share, ask for referrals, and improve on each cycle.
Mitigate risk as you grow—don’t cut corners to impress or scale too fast. Protect your capital partners, take losses on the chin, and treat every investor dollar like your own. Get the legal and accounting stack dialed in early. Long-term wealth is built by never having a “capital event” that wipes you out. This discipline lets you play offense when other investors panic.
Your 7-figure portfolio is the byproduct of day-in, day-out execution. There’s no luck, no legacy advantage, no secret society. Anyone with the will to follow the systems in this book—without letting ego or fear hijack their decisions—can build legacy wealth with zero of their own cash.
Community and Lifelines: Don’t Try to Do This Alone
No-money investing isn’t a solo sport. You need a network—not just for capital, but for accountability, insight, and resilience. You’re now part of a tribe that values execution over excuses. Show up in person at meetups or online forums, and don’t hide behind DMs or endless scrolling. Share your story, what you’re working on, what you’re stuck on—every investor path has rough stretches.
Form or join a small accountability group. Meet weekly, even if it’s just three people with notebooks and coffee. Trade deal leads, review underwriting, critique pitches, and call out each other’s blind spots. I’ve seen lone operators get 10x growth just by forcing themselves to keep promises to the group.
When your back is against the wall, ask for help. Smart operators do this early, not when the wheels come off. The beginner who raises their hand, admits they don’t know, and acts on feedback outpaces the silent “expert” every time.
Final Action Checklist: What to Implement in the Next 7 Days
Stop reading and start implementing. In the next seven days, do the following: analyze five local deals using the checklist, reach out to three new potential capital partners, document your process in one-page summaries, pitch a deal live or via Zoom—whether or not you feel ready—and share your execution story in a community or group.
Update your credibility kit with every new outcome, win or fail. Review your scripts before each call, tweak them based on objection patterns, and update your template files with lessons learned. Set a recurring calendar appointment each week for “Deal Execution Review”—meaning, what you did, what worked, what you’ll improve.
Your job is not to be perfect. Your job is to get relentlessly better—every week, every action, every deal. Execution compounds; mistakes are tuition.
Visualization: Your Moneyless Millionaire Path Forward
See it clearly: a year from today, your reputation, capital pipeline, and deal flow look completely different. Not because a guru changed your life, but because you re-engineered your own operating system and lived out the no-excuse process.
The single biggest mindset shift: you are no longer asking for permission. You’re an operator, a builder, a capital magnet—someone who turns scarcity into opportunity for yourself and your partners. Every lesson in this book is just a lever; you must pull them.
The only legacy that matters is the one you build yourself. Close your first deal. Stack another. Scale with intent. Protect your partners, document your wins, and never stop improving your system.
You started this journey telling yourself “I don’t have the money.” If you execute everything on these pages, you’ll realize that was never the problem. The market always rewards those who ship, not those who wish.
Now, go build your future. No money—no problem.</w:t>
      </w:r>
      <w:r w:rsidR="0090006A">
        <w:rPr>
          <w:rStyle w:val="mainbodyChar"/>
        </w:rPr>
        <w:t/>
      </w:r>
      <w:r>
        <w:rPr>
          <w:rStyle w:val="mainbodyChar"/>
        </w:rPr>
        <w:t/>
      </w:r>
    </w:p>
    <w:p w14:paraId="75F2BEA9" w14:textId="77777777" w:rsidR="0090006A" w:rsidRDefault="0090006A" w:rsidP="00977223">
      <w:pPr>
        <w:pStyle w:val="firstparagraph0"/>
        <w:ind w:firstLine="432"/>
        <w:rPr>
          <w:rStyle w:val="mainbodyChar"/>
        </w:rPr>
      </w:pPr>
    </w:p>
    <w:p w14:paraId="3A36CBD0" w14:textId="2115B291" w:rsidR="0090006A" w:rsidRDefault="00726065" w:rsidP="00726065">
      <w:pPr>
        <w:pStyle w:val="firstparagraph0"/>
        <w:ind w:firstLine="432"/>
        <w:rPr>
          <w:rStyle w:val="mainbodyChar"/>
        </w:rPr>
      </w:pPr>
      <w:r>
        <w:rPr>
          <w:rStyle w:val="mainbodyChar"/>
        </w:rPr>
        <w:t xml:space="preserve">Making the Leap from Reader to Action-Taker; Next-Level: Building a 7-Figure No-Cash Portfolio; Community and Lifelines: Don’t Try to Do This Alone</w:t>
      </w:r>
    </w:p>
    <w:p w14:paraId="28BB627D" w14:textId="77777777" w:rsidR="00977223" w:rsidRDefault="00977223" w:rsidP="00977223">
      <w:pPr>
        <w:pStyle w:val="firstparagraph0"/>
        <w:ind w:firstLine="432"/>
        <w:rPr>
          <w:rStyle w:val="mainbodyChar"/>
        </w:rPr>
      </w:pPr>
    </w:p>
    <w:p w14:paraId="0A88216E" w14:textId="77777777" w:rsidR="00905FA3" w:rsidRDefault="00905FA3" w:rsidP="00977223">
      <w:pPr>
        <w:pStyle w:val="firstparagraph0"/>
        <w:ind w:firstLine="432"/>
        <w:rPr>
          <w:rStyle w:val="mainbodyChar"/>
        </w:rPr>
      </w:pPr>
    </w:p>
    <w:p w14:paraId="040DC844" w14:textId="0A77B3F8" w:rsidR="002708BC" w:rsidRDefault="00977223" w:rsidP="00905FA3">
      <w:pPr>
        <w:pStyle w:val="firstparagraph0"/>
        <w:ind w:firstLine="432"/>
        <w:rPr>
          <w:rStyle w:val="mainbodyChar"/>
        </w:rPr>
      </w:pPr>
      <w:r>
        <w:rPr>
          <w:rStyle w:val="mainbodyChar"/>
        </w:rPr>
        <w:t xml:space="preserve">{{ChapterSummary}}</w:t>
      </w:r>
      <w:proofErr w:type="spellStart"/>
      <w:r>
        <w:rPr>
          <w:rStyle w:val="mainbodyChar"/>
        </w:rPr>
        <w:t/>
      </w:r>
      <w:proofErr w:type="spellEnd"/>
      <w:r>
        <w:rPr>
          <w:rStyle w:val="mainbodyChar"/>
        </w:rPr>
        <w:t/>
      </w:r>
    </w:p>
    <w:p w14:paraId="6A24247C" w14:textId="489205C6" w:rsidR="002708BC" w:rsidRDefault="002708BC" w:rsidP="00650B36">
      <w:pPr>
        <w:pStyle w:val="firstparagraph0"/>
        <w:ind w:firstLine="432"/>
        <w:rPr>
          <w:rStyle w:val="mainbodyChar"/>
        </w:rPr>
      </w:pPr>
      <w:r>
        <w:rPr>
          <w:rStyle w:val="mainbodyChar"/>
        </w:rPr>
        <w:t/>
      </w:r>
    </w:p>
    <w:p w14:paraId="6D485C82" w14:textId="77777777" w:rsidR="00650B36" w:rsidRDefault="00650B36" w:rsidP="00650B36">
      <w:pPr>
        <w:pStyle w:val="firstparagraph0"/>
        <w:rPr>
          <w:rStyle w:val="mainbodyChar"/>
        </w:rPr>
      </w:pPr>
    </w:p>
    <w:p w14:paraId="77CA2151" w14:textId="77777777" w:rsidR="00650B36" w:rsidRPr="00650B36" w:rsidRDefault="00650B36" w:rsidP="00650B36">
      <w:pPr>
        <w:pStyle w:val="firstparagraph0"/>
        <w:rPr>
          <w:rFonts w:eastAsia="Calibri" w:cs="Calibri"/>
          <w:lang w:eastAsia="hi-IN" w:bidi="hi-IN"/>
        </w:rPr>
      </w:pPr>
    </w:p>
    <w:p w14:paraId="591F6629" w14:textId="77777777" w:rsidR="001A3DA4" w:rsidRPr="001A3DA4" w:rsidRDefault="001A3DA4" w:rsidP="005C50C7">
      <w:pPr>
        <w:pStyle w:val="mainbody"/>
        <w:ind w:firstLine="0"/>
        <w:sectPr w:rsidR="001A3DA4" w:rsidRPr="001A3DA4" w:rsidSect="002063F9">
          <w:pgSz w:w="7920" w:h="12240"/>
          <w:pgMar w:top="936" w:right="864" w:bottom="792" w:left="864" w:header="360" w:footer="432" w:gutter="288"/>
          <w:pgNumType w:start="1"/>
          <w:cols w:space="720"/>
          <w:titlePg/>
          <w:docGrid w:linePitch="360"/>
        </w:sectPr>
      </w:pPr>
    </w:p>
    <w:p w14:paraId="61C01564" w14:textId="77777777" w:rsidR="00D80681" w:rsidRDefault="00D80681" w:rsidP="005C50C7">
      <w:pPr>
        <w:pStyle w:val="firstparagraph0"/>
        <w:rPr>
          <w:rStyle w:val="mainbodyChar"/>
        </w:rPr>
      </w:pPr>
    </w:p>
    <w:p w14:paraId="4A153678" w14:textId="77777777" w:rsidR="00387612" w:rsidRDefault="00387612" w:rsidP="005C50C7">
      <w:pPr>
        <w:pStyle w:val="firstparagraph0"/>
        <w:rPr>
          <w:rStyle w:val="mainbodyChar"/>
        </w:rPr>
      </w:pPr>
    </w:p>
    <w:p w14:paraId="2734D255" w14:textId="77777777" w:rsidR="00387612" w:rsidRDefault="00387612" w:rsidP="005C50C7">
      <w:pPr>
        <w:pStyle w:val="firstparagraph0"/>
        <w:rPr>
          <w:rStyle w:val="mainbodyChar"/>
        </w:rPr>
      </w:pPr>
    </w:p>
    <w:p w14:paraId="3407325B" w14:textId="77777777" w:rsidR="00387612" w:rsidRDefault="00387612" w:rsidP="005C50C7">
      <w:pPr>
        <w:pStyle w:val="firstparagraph0"/>
        <w:rPr>
          <w:rStyle w:val="mainbodyChar"/>
        </w:rPr>
      </w:pPr>
    </w:p>
    <w:p w14:paraId="56CCD97F" w14:textId="77777777" w:rsidR="00387612" w:rsidRDefault="00387612" w:rsidP="005C50C7">
      <w:pPr>
        <w:pStyle w:val="firstparagraph0"/>
        <w:rPr>
          <w:rStyle w:val="mainbodyChar"/>
        </w:rPr>
      </w:pPr>
    </w:p>
    <w:p w14:paraId="7DD6285B" w14:textId="77777777" w:rsidR="00387612" w:rsidRDefault="00387612" w:rsidP="005C50C7">
      <w:pPr>
        <w:pStyle w:val="firstparagraph0"/>
        <w:rPr>
          <w:rStyle w:val="mainbodyChar"/>
        </w:rPr>
      </w:pPr>
    </w:p>
    <w:p w14:paraId="28671DE1" w14:textId="77777777" w:rsidR="00387612" w:rsidRDefault="00387612" w:rsidP="005C50C7">
      <w:pPr>
        <w:pStyle w:val="firstparagraph0"/>
        <w:rPr>
          <w:rStyle w:val="mainbodyChar"/>
        </w:rPr>
      </w:pPr>
    </w:p>
    <w:p w14:paraId="5EB0AB6E" w14:textId="77777777" w:rsidR="00387612" w:rsidRDefault="00387612" w:rsidP="005C50C7">
      <w:pPr>
        <w:pStyle w:val="firstparagraph0"/>
        <w:rPr>
          <w:rStyle w:val="mainbodyChar"/>
        </w:rPr>
      </w:pPr>
    </w:p>
    <w:p w14:paraId="2EBC67BC" w14:textId="77777777" w:rsidR="00387612" w:rsidRDefault="00387612" w:rsidP="005C50C7">
      <w:pPr>
        <w:pStyle w:val="firstparagraph0"/>
        <w:rPr>
          <w:rStyle w:val="mainbodyChar"/>
        </w:rPr>
      </w:pPr>
    </w:p>
    <w:p w14:paraId="3350B7D4" w14:textId="77777777" w:rsidR="00387612" w:rsidRDefault="00387612" w:rsidP="005C50C7">
      <w:pPr>
        <w:pStyle w:val="firstparagraph0"/>
        <w:rPr>
          <w:rStyle w:val="mainbodyChar"/>
        </w:rPr>
      </w:pPr>
    </w:p>
    <w:p w14:paraId="00B14202" w14:textId="77777777" w:rsidR="00387612" w:rsidRDefault="00387612" w:rsidP="005C50C7">
      <w:pPr>
        <w:pStyle w:val="firstparagraph0"/>
        <w:rPr>
          <w:rStyle w:val="mainbodyChar"/>
        </w:rPr>
      </w:pPr>
    </w:p>
    <w:p w14:paraId="01E5A364" w14:textId="77777777" w:rsidR="00387612" w:rsidRDefault="00387612" w:rsidP="005C50C7">
      <w:pPr>
        <w:pStyle w:val="firstparagraph0"/>
        <w:rPr>
          <w:rStyle w:val="mainbodyChar"/>
        </w:rPr>
      </w:pPr>
    </w:p>
    <w:p w14:paraId="31728A1F" w14:textId="77777777" w:rsidR="00387612" w:rsidRDefault="00387612" w:rsidP="005C50C7">
      <w:pPr>
        <w:pStyle w:val="firstparagraph0"/>
        <w:rPr>
          <w:rStyle w:val="mainbodyChar"/>
        </w:rPr>
      </w:pPr>
    </w:p>
    <w:p w14:paraId="6235D2B1" w14:textId="77777777" w:rsidR="00387612" w:rsidRDefault="00387612" w:rsidP="005C50C7">
      <w:pPr>
        <w:pStyle w:val="firstparagraph0"/>
        <w:rPr>
          <w:rStyle w:val="mainbodyChar"/>
        </w:rPr>
      </w:pPr>
    </w:p>
    <w:p w14:paraId="5B8F2356" w14:textId="77777777" w:rsidR="00387612" w:rsidRDefault="00387612" w:rsidP="005C50C7">
      <w:pPr>
        <w:pStyle w:val="firstparagraph0"/>
        <w:rPr>
          <w:rStyle w:val="mainbodyChar"/>
        </w:rPr>
      </w:pPr>
    </w:p>
    <w:p w14:paraId="7646120B" w14:textId="77777777" w:rsidR="00387612" w:rsidRDefault="00387612" w:rsidP="005C50C7">
      <w:pPr>
        <w:pStyle w:val="firstparagraph0"/>
        <w:rPr>
          <w:rStyle w:val="mainbodyChar"/>
        </w:rPr>
      </w:pPr>
    </w:p>
    <w:p w14:paraId="20BDD8B2" w14:textId="77777777" w:rsidR="00387612" w:rsidRDefault="00387612" w:rsidP="005C50C7">
      <w:pPr>
        <w:pStyle w:val="firstparagraph0"/>
        <w:rPr>
          <w:rStyle w:val="mainbodyChar"/>
        </w:rPr>
      </w:pPr>
    </w:p>
    <w:p w14:paraId="582C1778" w14:textId="77777777" w:rsidR="00387612" w:rsidRDefault="00387612" w:rsidP="005C50C7">
      <w:pPr>
        <w:pStyle w:val="firstparagraph0"/>
        <w:rPr>
          <w:rStyle w:val="mainbodyChar"/>
        </w:rPr>
      </w:pPr>
    </w:p>
    <w:p w14:paraId="7D47F8CC" w14:textId="77777777" w:rsidR="00387612" w:rsidRDefault="00387612" w:rsidP="005C50C7">
      <w:pPr>
        <w:pStyle w:val="firstparagraph0"/>
        <w:rPr>
          <w:rStyle w:val="mainbodyChar"/>
        </w:rPr>
      </w:pPr>
    </w:p>
    <w:p w14:paraId="79D38990" w14:textId="77777777" w:rsidR="00387612" w:rsidRDefault="00387612" w:rsidP="005C50C7">
      <w:pPr>
        <w:pStyle w:val="firstparagraph0"/>
        <w:rPr>
          <w:rStyle w:val="mainbodyChar"/>
        </w:rPr>
      </w:pPr>
    </w:p>
    <w:p w14:paraId="23C7048F" w14:textId="77777777" w:rsidR="00387612" w:rsidRDefault="00387612" w:rsidP="005C50C7">
      <w:pPr>
        <w:pStyle w:val="firstparagraph0"/>
        <w:rPr>
          <w:rStyle w:val="mainbodyChar"/>
        </w:rPr>
      </w:pPr>
    </w:p>
    <w:p w14:paraId="0D98AEFB" w14:textId="77777777" w:rsidR="00387612" w:rsidRDefault="00387612" w:rsidP="005C50C7">
      <w:pPr>
        <w:pStyle w:val="firstparagraph0"/>
        <w:rPr>
          <w:rStyle w:val="mainbodyChar"/>
        </w:rPr>
      </w:pPr>
    </w:p>
    <w:p w14:paraId="2DF1188E" w14:textId="77777777" w:rsidR="00387612" w:rsidRDefault="00387612" w:rsidP="005C50C7">
      <w:pPr>
        <w:pStyle w:val="firstparagraph0"/>
        <w:rPr>
          <w:rStyle w:val="mainbodyChar"/>
        </w:rPr>
      </w:pPr>
    </w:p>
    <w:p w14:paraId="003C1E79" w14:textId="77777777" w:rsidR="00387612" w:rsidRDefault="00387612" w:rsidP="005C50C7">
      <w:pPr>
        <w:pStyle w:val="firstparagraph0"/>
        <w:rPr>
          <w:rStyle w:val="mainbodyChar"/>
        </w:rPr>
      </w:pPr>
    </w:p>
    <w:p w14:paraId="7B374F48" w14:textId="77777777" w:rsidR="00387612" w:rsidRDefault="00387612" w:rsidP="005C50C7">
      <w:pPr>
        <w:pStyle w:val="firstparagraph0"/>
        <w:rPr>
          <w:rStyle w:val="mainbodyChar"/>
        </w:rPr>
      </w:pPr>
    </w:p>
    <w:p w14:paraId="7CFFC0D2" w14:textId="77777777" w:rsidR="00387612" w:rsidRDefault="00387612" w:rsidP="005C50C7">
      <w:pPr>
        <w:pStyle w:val="firstparagraph0"/>
        <w:rPr>
          <w:rStyle w:val="mainbodyChar"/>
        </w:rPr>
      </w:pPr>
    </w:p>
    <w:p w14:paraId="4A2C2584" w14:textId="77777777" w:rsidR="00387612" w:rsidRDefault="00387612" w:rsidP="005C50C7">
      <w:pPr>
        <w:pStyle w:val="firstparagraph0"/>
        <w:rPr>
          <w:rStyle w:val="mainbodyChar"/>
        </w:rPr>
      </w:pPr>
    </w:p>
    <w:p w14:paraId="3EA6333E" w14:textId="77777777" w:rsidR="00387612" w:rsidRDefault="00387612" w:rsidP="005C50C7">
      <w:pPr>
        <w:pStyle w:val="firstparagraph0"/>
        <w:rPr>
          <w:rStyle w:val="mainbodyChar"/>
        </w:rPr>
      </w:pPr>
    </w:p>
    <w:p w14:paraId="2DF61133" w14:textId="77777777" w:rsidR="00387612" w:rsidRDefault="00387612" w:rsidP="005C50C7">
      <w:pPr>
        <w:pStyle w:val="firstparagraph0"/>
        <w:rPr>
          <w:rStyle w:val="mainbodyChar"/>
        </w:rPr>
      </w:pPr>
    </w:p>
    <w:p w14:paraId="680D3457" w14:textId="77777777" w:rsidR="00387612" w:rsidRDefault="00387612" w:rsidP="005C50C7">
      <w:pPr>
        <w:pStyle w:val="firstparagraph0"/>
        <w:rPr>
          <w:rStyle w:val="mainbodyChar"/>
        </w:rPr>
      </w:pPr>
    </w:p>
    <w:p w14:paraId="0D93BD11" w14:textId="77777777" w:rsidR="00387612" w:rsidRDefault="00387612" w:rsidP="005C50C7">
      <w:pPr>
        <w:pStyle w:val="firstparagraph0"/>
        <w:rPr>
          <w:rStyle w:val="mainbodyChar"/>
        </w:rPr>
      </w:pPr>
    </w:p>
    <w:p w14:paraId="7141A3F5" w14:textId="77777777" w:rsidR="00387612" w:rsidRDefault="00387612" w:rsidP="005C50C7">
      <w:pPr>
        <w:pStyle w:val="firstparagraph0"/>
        <w:rPr>
          <w:rStyle w:val="mainbodyChar"/>
        </w:rPr>
      </w:pPr>
    </w:p>
    <w:p w14:paraId="5C2E3900" w14:textId="77777777" w:rsidR="00387612" w:rsidRDefault="00387612" w:rsidP="005C50C7">
      <w:pPr>
        <w:pStyle w:val="firstparagraph0"/>
        <w:rPr>
          <w:rStyle w:val="mainbodyChar"/>
        </w:rPr>
      </w:pPr>
    </w:p>
    <w:p w14:paraId="5F6A9465" w14:textId="77777777" w:rsidR="00387612" w:rsidRDefault="00387612" w:rsidP="005C50C7">
      <w:pPr>
        <w:pStyle w:val="firstparagraph0"/>
        <w:rPr>
          <w:rStyle w:val="mainbodyChar"/>
        </w:rPr>
      </w:pPr>
    </w:p>
    <w:p w14:paraId="24BF4F63" w14:textId="77777777" w:rsidR="00387612" w:rsidRDefault="00387612" w:rsidP="005C50C7">
      <w:pPr>
        <w:pStyle w:val="firstparagraph0"/>
        <w:rPr>
          <w:rStyle w:val="mainbodyChar"/>
        </w:rPr>
      </w:pPr>
    </w:p>
    <w:p w14:paraId="14F0B639" w14:textId="77777777" w:rsidR="00387612" w:rsidRDefault="00387612" w:rsidP="005C50C7">
      <w:pPr>
        <w:pStyle w:val="firstparagraph0"/>
        <w:rPr>
          <w:rStyle w:val="mainbodyChar"/>
        </w:rPr>
      </w:pPr>
    </w:p>
    <w:p w14:paraId="0C113518" w14:textId="77777777" w:rsidR="00387612" w:rsidRDefault="00387612" w:rsidP="005C50C7">
      <w:pPr>
        <w:pStyle w:val="firstparagraph0"/>
        <w:rPr>
          <w:rStyle w:val="mainbodyChar"/>
        </w:rPr>
      </w:pPr>
    </w:p>
    <w:p w14:paraId="11FD1F15" w14:textId="77777777" w:rsidR="00387612" w:rsidRDefault="00387612" w:rsidP="005C50C7">
      <w:pPr>
        <w:pStyle w:val="firstparagraph0"/>
        <w:rPr>
          <w:rStyle w:val="mainbodyChar"/>
        </w:rPr>
      </w:pPr>
    </w:p>
    <w:p w14:paraId="6D552AB3" w14:textId="77777777" w:rsidR="00387612" w:rsidRDefault="00387612" w:rsidP="005C50C7">
      <w:pPr>
        <w:pStyle w:val="firstparagraph0"/>
        <w:rPr>
          <w:rStyle w:val="mainbodyChar"/>
        </w:rPr>
      </w:pPr>
    </w:p>
    <w:p w14:paraId="6C6C7075" w14:textId="77777777" w:rsidR="00387612" w:rsidRDefault="00387612" w:rsidP="005C50C7">
      <w:pPr>
        <w:pStyle w:val="firstparagraph0"/>
        <w:rPr>
          <w:rStyle w:val="mainbodyChar"/>
        </w:rPr>
      </w:pPr>
    </w:p>
    <w:p w14:paraId="3D154B92" w14:textId="77777777" w:rsidR="00387612" w:rsidRDefault="00387612" w:rsidP="005C50C7">
      <w:pPr>
        <w:pStyle w:val="firstparagraph0"/>
        <w:rPr>
          <w:rStyle w:val="mainbodyChar"/>
        </w:rPr>
      </w:pPr>
    </w:p>
    <w:p w14:paraId="40DB25C8" w14:textId="77777777" w:rsidR="00387612" w:rsidRDefault="00387612" w:rsidP="005C50C7">
      <w:pPr>
        <w:pStyle w:val="firstparagraph0"/>
        <w:rPr>
          <w:rStyle w:val="mainbodyChar"/>
        </w:rPr>
      </w:pPr>
    </w:p>
    <w:p w14:paraId="26E1E94F" w14:textId="77777777" w:rsidR="00387612" w:rsidRDefault="00387612" w:rsidP="005C50C7">
      <w:pPr>
        <w:pStyle w:val="firstparagraph0"/>
        <w:rPr>
          <w:rStyle w:val="mainbodyChar"/>
        </w:rPr>
      </w:pPr>
    </w:p>
    <w:p w14:paraId="4339F0D7" w14:textId="77777777" w:rsidR="00387612" w:rsidRDefault="00387612" w:rsidP="005C50C7">
      <w:pPr>
        <w:pStyle w:val="firstparagraph0"/>
        <w:rPr>
          <w:rStyle w:val="mainbodyChar"/>
        </w:rPr>
      </w:pPr>
    </w:p>
    <w:p w14:paraId="4B89DE27" w14:textId="77777777" w:rsidR="00387612" w:rsidRDefault="00387612" w:rsidP="005C50C7">
      <w:pPr>
        <w:pStyle w:val="firstparagraph0"/>
        <w:rPr>
          <w:rStyle w:val="mainbodyChar"/>
        </w:rPr>
      </w:pPr>
    </w:p>
    <w:p w14:paraId="7180155C" w14:textId="77777777" w:rsidR="00387612" w:rsidRDefault="00387612" w:rsidP="005C50C7">
      <w:pPr>
        <w:pStyle w:val="firstparagraph0"/>
        <w:rPr>
          <w:rStyle w:val="mainbodyChar"/>
        </w:rPr>
      </w:pPr>
    </w:p>
    <w:p w14:paraId="46851C44" w14:textId="77777777" w:rsidR="00387612" w:rsidRDefault="00387612" w:rsidP="005C50C7">
      <w:pPr>
        <w:pStyle w:val="firstparagraph0"/>
        <w:rPr>
          <w:rStyle w:val="mainbodyChar"/>
        </w:rPr>
      </w:pPr>
    </w:p>
    <w:p w14:paraId="6439FA8A" w14:textId="77777777" w:rsidR="00387612" w:rsidRDefault="00387612" w:rsidP="005C50C7">
      <w:pPr>
        <w:pStyle w:val="firstparagraph0"/>
        <w:rPr>
          <w:rStyle w:val="mainbodyChar"/>
        </w:rPr>
      </w:pPr>
    </w:p>
    <w:p w14:paraId="78CE911B" w14:textId="77777777" w:rsidR="00387612" w:rsidRDefault="00387612" w:rsidP="005C50C7">
      <w:pPr>
        <w:pStyle w:val="firstparagraph0"/>
        <w:rPr>
          <w:rStyle w:val="mainbodyChar"/>
        </w:rPr>
      </w:pPr>
    </w:p>
    <w:p w14:paraId="7ED9A126" w14:textId="77777777" w:rsidR="00387612" w:rsidRDefault="00387612" w:rsidP="005C50C7">
      <w:pPr>
        <w:pStyle w:val="firstparagraph0"/>
        <w:rPr>
          <w:rStyle w:val="mainbodyChar"/>
        </w:rPr>
      </w:pPr>
    </w:p>
    <w:p w14:paraId="1A005D10" w14:textId="77777777" w:rsidR="00387612" w:rsidRDefault="00387612" w:rsidP="005C50C7">
      <w:pPr>
        <w:pStyle w:val="firstparagraph0"/>
        <w:rPr>
          <w:rStyle w:val="mainbodyChar"/>
        </w:rPr>
      </w:pPr>
    </w:p>
    <w:p w14:paraId="3EBD883F" w14:textId="77777777" w:rsidR="00387612" w:rsidRDefault="00387612" w:rsidP="005C50C7">
      <w:pPr>
        <w:pStyle w:val="firstparagraph0"/>
        <w:rPr>
          <w:rStyle w:val="mainbodyChar"/>
        </w:rPr>
      </w:pPr>
    </w:p>
    <w:p w14:paraId="67D1AE1F" w14:textId="77777777" w:rsidR="00387612" w:rsidRDefault="00387612" w:rsidP="005C50C7">
      <w:pPr>
        <w:pStyle w:val="firstparagraph0"/>
        <w:rPr>
          <w:rStyle w:val="mainbodyChar"/>
        </w:rPr>
      </w:pPr>
    </w:p>
    <w:p w14:paraId="502E7F54" w14:textId="77777777" w:rsidR="00D80681" w:rsidRDefault="00D80681" w:rsidP="00D80681">
      <w:pPr>
        <w:pStyle w:val="firstparagraph0"/>
        <w:ind w:firstLine="432"/>
        <w:rPr>
          <w:rStyle w:val="mainbodyChar"/>
        </w:rPr>
      </w:pPr>
    </w:p>
    <w:p w14:paraId="591F6659" w14:textId="6BFFD73D" w:rsidR="000B434B" w:rsidRDefault="000B434B" w:rsidP="001D687D">
      <w:pPr>
        <w:pStyle w:val="mainbody"/>
      </w:pPr>
    </w:p>
    <w:p w14:paraId="41A66ED6" w14:textId="2223DDE7" w:rsidR="000B434B" w:rsidRDefault="000B434B">
      <w:pPr>
        <w:widowControl/>
        <w:suppressAutoHyphens w:val="0"/>
        <w:spacing w:line="240" w:lineRule="auto"/>
        <w:rPr>
          <w:rFonts w:ascii="Libre Baskerville" w:hAnsi="Libre Baskerville"/>
        </w:rPr>
      </w:pPr>
      <w:r>
        <w:br w:type="page"/>
      </w:r>
    </w:p>
    <w:p w14:paraId="38375822" w14:textId="77777777" w:rsidR="00F84F44" w:rsidRDefault="00F84F44" w:rsidP="001D687D">
      <w:pPr>
        <w:pStyle w:val="mainbody"/>
        <w:sectPr w:rsidR="00F84F44" w:rsidSect="002063F9">
          <w:pgSz w:w="7920" w:h="12240"/>
          <w:pgMar w:top="936" w:right="864" w:bottom="792" w:left="864" w:header="360" w:footer="432" w:gutter="288"/>
          <w:cols w:space="720"/>
          <w:titlePg/>
          <w:docGrid w:linePitch="360"/>
        </w:sectPr>
      </w:pPr>
    </w:p>
    <w:p w14:paraId="591F665A" w14:textId="74F06B08" w:rsidR="003A32CC" w:rsidRPr="006F6ADF" w:rsidRDefault="00C657B9" w:rsidP="006F6ADF">
      <w:pPr>
        <w:pStyle w:val="Heading1"/>
      </w:pPr>
      <w:r>
        <w:lastRenderedPageBreak/>
        <w:t xml:space="preserve">Toby Potter</w:t>
      </w:r>
      <w:proofErr w:type="spellStart"/>
      <w:r w:rsidR="00025E34">
        <w:t/>
      </w:r>
      <w:r w:rsidR="00003A51">
        <w:t/>
      </w:r>
      <w:proofErr w:type="spellEnd"/>
      <w:r>
        <w:t/>
      </w:r>
    </w:p>
    <w:p w14:paraId="591F665B" w14:textId="77777777" w:rsidR="003A32CC" w:rsidRPr="0078101A" w:rsidRDefault="003A32CC" w:rsidP="003A32CC">
      <w:pPr>
        <w:rPr>
          <w:lang w:val="en"/>
        </w:rPr>
      </w:pPr>
    </w:p>
    <w:p w14:paraId="591F665D" w14:textId="4D393109" w:rsidR="003A32CC" w:rsidRPr="003A32CC" w:rsidRDefault="003B0C0C" w:rsidP="00025E34">
      <w:pPr>
        <w:pStyle w:val="mainbody"/>
        <w:rPr>
          <w:sz w:val="20"/>
          <w:szCs w:val="20"/>
        </w:rPr>
      </w:pPr>
      <w:r>
        <w:t xml:space="preserve">Toby Potter is the founder and CEO of Global Integrity Finance, a leading private lending company built on faith, discipline, and truth in action. But he didn’t start there.
He grew up in a small Texas town, raised by a single mother who taught him grit, self-respect, and the importance of doing hard things. He battled insecurity, self-doubt, and setbacks early in life — including business failures and the pressure to live up to expectations he didn’t believe he deserved.
But Toby didn’t fold. He rebuilt himself from the inside out.
He got sober. He got honest. He got obsessed with becoming the kind of man his son could be proud of — not just successful, but unshakable.
He built Global Integrity from nothing. No venture backing. No silver spoon. Just relentless discipline, divine alignment, and a mission to help others do the same.
Today, Toby mentors investors, speaks from the heart, and preaches a philosophy of radical ownership: you can’t build external success without internal strength.
Because real confidence doesn’t come from what you own — it comes from who you are when everything else gets stripped away.</w:t>
      </w:r>
      <w:proofErr w:type="spellStart"/>
      <w:r>
        <w:t/>
      </w:r>
      <w:r w:rsidR="00025E34">
        <w:t/>
      </w:r>
      <w:proofErr w:type="spellEnd"/>
      <w:r w:rsidR="00025E34">
        <w:t/>
      </w:r>
    </w:p>
    <w:p w14:paraId="591F665E" w14:textId="77777777" w:rsidR="00681BB0" w:rsidRPr="00D463CE" w:rsidRDefault="00681BB0" w:rsidP="00742613">
      <w:pPr>
        <w:rPr>
          <w:rFonts w:ascii="Theano Didot" w:hAnsi="Theano Didot"/>
          <w:lang w:eastAsia="zh-CN"/>
        </w:rPr>
      </w:pPr>
    </w:p>
    <w:p w14:paraId="591F665F" w14:textId="38C7D925" w:rsidR="00681BB0" w:rsidRPr="008F56E6" w:rsidRDefault="003B0C0C" w:rsidP="008F56E6">
      <w:pPr>
        <w:jc w:val="center"/>
        <w:rPr>
          <w:rFonts w:ascii="Libre Baskerville" w:hAnsi="Libre Baskerville"/>
          <w:lang w:eastAsia="zh-CN"/>
        </w:rPr>
        <w:sectPr w:rsidR="00681BB0" w:rsidRPr="008F56E6" w:rsidSect="002063F9">
          <w:pgSz w:w="7920" w:h="12240"/>
          <w:pgMar w:top="936" w:right="864" w:bottom="792" w:left="864" w:header="576" w:footer="432" w:gutter="288"/>
          <w:cols w:space="720"/>
          <w:titlePg/>
          <w:docGrid w:linePitch="360"/>
        </w:sectPr>
      </w:pPr>
      <w:r>
        <w:rPr>
          <w:rFonts w:ascii="Libre Baskerville" w:hAnsi="Libre Baskerville"/>
          <w:lang w:eastAsia="zh-CN"/>
        </w:rPr>
        <w:t xml:space="preserve">www.theunshakableinvestor.com</w:t>
      </w:r>
    </w:p>
    <w:p w14:paraId="591F6660" w14:textId="77777777" w:rsidR="001C2EED" w:rsidRPr="00EE2A03" w:rsidRDefault="001C2EED" w:rsidP="006F6ADF">
      <w:pPr>
        <w:pStyle w:val="Heading1"/>
        <w:numPr>
          <w:ilvl w:val="0"/>
          <w:numId w:val="0"/>
        </w:numPr>
      </w:pPr>
      <w:bookmarkStart w:id="5" w:name="_Toc98233619"/>
      <w:r w:rsidRPr="00EE2A03">
        <w:lastRenderedPageBreak/>
        <w:t>Acknowledgments</w:t>
      </w:r>
      <w:bookmarkEnd w:id="5"/>
    </w:p>
    <w:p w14:paraId="591F6661" w14:textId="77777777" w:rsidR="001C2EED" w:rsidRPr="0078101A" w:rsidRDefault="001C2EED" w:rsidP="00742613">
      <w:pPr>
        <w:rPr>
          <w:lang w:val="en"/>
        </w:rPr>
      </w:pPr>
    </w:p>
    <w:p w14:paraId="591F6662" w14:textId="788FE5EC" w:rsidR="003A32CC" w:rsidRPr="00F84F44" w:rsidRDefault="003B0C0C" w:rsidP="00F84F44">
      <w:pPr>
        <w:pStyle w:val="FirstParagraph1"/>
        <w:rPr>
          <w:rFonts w:ascii="Open Sans" w:hAnsi="Open Sans" w:cs="Open Sans"/>
          <w:lang w:val="en"/>
        </w:rPr>
      </w:pPr>
      <w:r>
        <w:rPr>
          <w:rFonts w:ascii="Open Sans" w:hAnsi="Open Sans" w:cs="Open Sans"/>
          <w:lang w:val="en"/>
        </w:rPr>
        <w:t xml:space="preserve">{{Acknowledgements}}</w:t>
      </w:r>
      <w:r w:rsidR="00CC3442">
        <w:rPr>
          <w:rFonts w:ascii="Open Sans" w:hAnsi="Open Sans" w:cs="Open Sans"/>
          <w:lang w:val="en"/>
        </w:rPr>
        <w:t/>
      </w:r>
      <w:r>
        <w:rPr>
          <w:rFonts w:ascii="Open Sans" w:hAnsi="Open Sans" w:cs="Open Sans"/>
          <w:lang w:val="en"/>
        </w:rPr>
        <w:t/>
      </w:r>
    </w:p>
    <w:sectPr w:rsidR="003A32CC" w:rsidRPr="00F84F44" w:rsidSect="002063F9">
      <w:pgSz w:w="7920" w:h="12240"/>
      <w:pgMar w:top="936" w:right="864" w:bottom="792" w:left="864" w:header="576" w:footer="432" w:gutter="28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084A1" w14:textId="77777777" w:rsidR="0004216C" w:rsidRDefault="0004216C" w:rsidP="00742613">
      <w:r>
        <w:separator/>
      </w:r>
    </w:p>
  </w:endnote>
  <w:endnote w:type="continuationSeparator" w:id="0">
    <w:p w14:paraId="23F05651" w14:textId="77777777" w:rsidR="0004216C" w:rsidRDefault="0004216C" w:rsidP="00742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lassGarmnd BT">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obe Wood Type">
    <w:altName w:val="Arial"/>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leo">
    <w:altName w:val="Arial"/>
    <w:charset w:val="00"/>
    <w:family w:val="auto"/>
    <w:pitch w:val="variable"/>
    <w:sig w:usb0="00000007" w:usb1="00000000" w:usb2="00000000" w:usb3="00000000" w:csb0="00000083"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Libre Baskerville">
    <w:altName w:val="Times New Roman"/>
    <w:charset w:val="00"/>
    <w:family w:val="auto"/>
    <w:pitch w:val="variable"/>
    <w:sig w:usb0="A00000BF" w:usb1="5000005B" w:usb2="00000000" w:usb3="00000000" w:csb0="00000093" w:csb1="00000000"/>
  </w:font>
  <w:font w:name="CenturyGothic">
    <w:altName w:val="Calibri"/>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Bliss 2 Light">
    <w:panose1 w:val="00000000000000000000"/>
    <w:charset w:val="00"/>
    <w:family w:val="modern"/>
    <w:notTrueType/>
    <w:pitch w:val="variable"/>
    <w:sig w:usb0="A00000AF" w:usb1="5000204B" w:usb2="00000000" w:usb3="00000000" w:csb0="0000009B" w:csb1="00000000"/>
  </w:font>
  <w:font w:name="Caecilia LT Std Light">
    <w:panose1 w:val="00000000000000000000"/>
    <w:charset w:val="00"/>
    <w:family w:val="modern"/>
    <w:notTrueType/>
    <w:pitch w:val="variable"/>
    <w:sig w:usb0="800000AF" w:usb1="5000204A" w:usb2="00000000" w:usb3="00000000" w:csb0="00000001" w:csb1="00000000"/>
  </w:font>
  <w:font w:name="Open Sans Light">
    <w:charset w:val="00"/>
    <w:family w:val="swiss"/>
    <w:pitch w:val="variable"/>
    <w:sig w:usb0="E00002EF" w:usb1="4000205B" w:usb2="00000028" w:usb3="00000000" w:csb0="0000019F" w:csb1="00000000"/>
  </w:font>
  <w:font w:name="Charlemagne Std">
    <w:panose1 w:val="00000000000000000000"/>
    <w:charset w:val="00"/>
    <w:family w:val="decorative"/>
    <w:notTrueType/>
    <w:pitch w:val="variable"/>
    <w:sig w:usb0="00000003" w:usb1="00000000" w:usb2="00000000" w:usb3="00000000" w:csb0="00000001" w:csb1="00000000"/>
  </w:font>
  <w:font w:name="Theano Didot">
    <w:altName w:val="Cambria Math"/>
    <w:charset w:val="00"/>
    <w:family w:val="roman"/>
    <w:pitch w:val="variable"/>
    <w:sig w:usb0="00000001" w:usb1="500020CB" w:usb2="00000000" w:usb3="00000000" w:csb0="0000009B" w:csb1="00000000"/>
  </w:font>
  <w:font w:name="Aaargh">
    <w:altName w:val="Courier10 BT"/>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9" w14:textId="77777777" w:rsidR="00FF4A04" w:rsidRDefault="00FF4A04" w:rsidP="00FF4A04">
    <w:pPr>
      <w:pStyle w:val="Footer"/>
      <w:pBdr>
        <w:top w:val="none" w:sz="0" w:space="0" w:color="auto"/>
      </w:pBdr>
      <w:tabs>
        <w:tab w:val="clear" w:pos="4253"/>
        <w:tab w:val="clear" w:pos="8505"/>
        <w:tab w:val="center" w:pos="3240"/>
      </w:tabs>
      <w:rPr>
        <w:rFonts w:ascii="Theano Didot" w:hAnsi="Theano Didot"/>
      </w:rPr>
    </w:pPr>
    <w:r>
      <w:rPr>
        <w:rFonts w:ascii="Theano Didot" w:hAnsi="Theano Didot"/>
      </w:rPr>
      <w:tab/>
    </w:r>
  </w:p>
  <w:p w14:paraId="591F666A" w14:textId="77777777" w:rsidR="00542521" w:rsidRPr="0056151B" w:rsidRDefault="00FF4A04" w:rsidP="00FF4A04">
    <w:pPr>
      <w:pStyle w:val="Footer"/>
      <w:pBdr>
        <w:top w:val="none" w:sz="0" w:space="0" w:color="auto"/>
      </w:pBdr>
      <w:tabs>
        <w:tab w:val="clear" w:pos="4253"/>
        <w:tab w:val="clear" w:pos="8505"/>
        <w:tab w:val="center" w:pos="3240"/>
      </w:tabs>
      <w:jc w:val="center"/>
      <w:rPr>
        <w:rFonts w:ascii="Aleo" w:hAnsi="Aleo"/>
        <w:b w:val="0"/>
      </w:rPr>
    </w:pPr>
    <w:r w:rsidRPr="0056151B">
      <w:rPr>
        <w:rFonts w:ascii="Aleo" w:hAnsi="Aleo"/>
        <w:b w:val="0"/>
      </w:rPr>
      <w:fldChar w:fldCharType="begin"/>
    </w:r>
    <w:r w:rsidRPr="0056151B">
      <w:rPr>
        <w:rFonts w:ascii="Aleo" w:hAnsi="Aleo"/>
        <w:b w:val="0"/>
      </w:rPr>
      <w:instrText xml:space="preserve"> PAGE   \* MERGEFORMAT </w:instrText>
    </w:r>
    <w:r w:rsidRPr="0056151B">
      <w:rPr>
        <w:rFonts w:ascii="Aleo" w:hAnsi="Aleo"/>
        <w:b w:val="0"/>
      </w:rPr>
      <w:fldChar w:fldCharType="separate"/>
    </w:r>
    <w:r w:rsidR="002063F9">
      <w:rPr>
        <w:rFonts w:ascii="Aleo" w:hAnsi="Aleo"/>
        <w:b w:val="0"/>
        <w:noProof/>
      </w:rPr>
      <w:t>14</w:t>
    </w:r>
    <w:r w:rsidRPr="0056151B">
      <w:rPr>
        <w:rFonts w:ascii="Aleo" w:hAnsi="Aleo"/>
        <w:b w:val="0"/>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B" w14:textId="77777777" w:rsidR="00542521" w:rsidRDefault="00542521" w:rsidP="001D687D">
    <w:pPr>
      <w:pStyle w:val="Footer"/>
      <w:pBdr>
        <w:top w:val="none" w:sz="0" w:space="0" w:color="auto"/>
      </w:pBdr>
      <w:ind w:left="360"/>
      <w:jc w:val="center"/>
      <w:rPr>
        <w:rStyle w:val="PageNumber"/>
        <w:rFonts w:ascii="Theano Didot" w:hAnsi="Theano Didot"/>
        <w:sz w:val="20"/>
        <w:szCs w:val="20"/>
        <w:lang w:eastAsia="zh-CN"/>
      </w:rPr>
    </w:pPr>
  </w:p>
  <w:p w14:paraId="591F666C" w14:textId="77777777" w:rsidR="00542521" w:rsidRPr="00FF4A04" w:rsidRDefault="00FF4A04" w:rsidP="00FF4A04">
    <w:pPr>
      <w:pStyle w:val="Footer"/>
      <w:pBdr>
        <w:top w:val="none" w:sz="0" w:space="0" w:color="auto"/>
      </w:pBdr>
      <w:tabs>
        <w:tab w:val="clear" w:pos="4253"/>
        <w:tab w:val="clear" w:pos="8505"/>
        <w:tab w:val="center" w:pos="3240"/>
      </w:tabs>
      <w:jc w:val="center"/>
      <w:rPr>
        <w:rFonts w:ascii="Libre Baskerville" w:hAnsi="Libre Baskerville"/>
        <w:b w:val="0"/>
      </w:rPr>
    </w:pPr>
    <w:r w:rsidRPr="00FF4A04">
      <w:rPr>
        <w:rFonts w:ascii="Libre Baskerville" w:hAnsi="Libre Baskerville"/>
        <w:b w:val="0"/>
      </w:rPr>
      <w:fldChar w:fldCharType="begin"/>
    </w:r>
    <w:r w:rsidRPr="00FF4A04">
      <w:rPr>
        <w:rFonts w:ascii="Libre Baskerville" w:hAnsi="Libre Baskerville"/>
        <w:b w:val="0"/>
      </w:rPr>
      <w:instrText xml:space="preserve"> PAGE   \* MERGEFORMAT </w:instrText>
    </w:r>
    <w:r w:rsidRPr="00FF4A04">
      <w:rPr>
        <w:rFonts w:ascii="Libre Baskerville" w:hAnsi="Libre Baskerville"/>
        <w:b w:val="0"/>
      </w:rPr>
      <w:fldChar w:fldCharType="separate"/>
    </w:r>
    <w:r w:rsidR="002063F9">
      <w:rPr>
        <w:rFonts w:ascii="Libre Baskerville" w:hAnsi="Libre Baskerville"/>
        <w:b w:val="0"/>
        <w:noProof/>
      </w:rPr>
      <w:t>13</w:t>
    </w:r>
    <w:r w:rsidRPr="00FF4A04">
      <w:rPr>
        <w:rFonts w:ascii="Libre Baskerville" w:hAnsi="Libre Baskerville"/>
        <w:b w:val="0"/>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E" w14:textId="77777777" w:rsidR="00542521" w:rsidRDefault="00542521" w:rsidP="00742613"/>
  <w:p w14:paraId="591F666F" w14:textId="77777777" w:rsidR="00542521" w:rsidRDefault="00542521" w:rsidP="007426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28391" w14:textId="77777777" w:rsidR="0004216C" w:rsidRDefault="0004216C" w:rsidP="00742613">
      <w:r>
        <w:separator/>
      </w:r>
    </w:p>
  </w:footnote>
  <w:footnote w:type="continuationSeparator" w:id="0">
    <w:p w14:paraId="6898DA5C" w14:textId="77777777" w:rsidR="0004216C" w:rsidRDefault="0004216C" w:rsidP="007426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7" w14:textId="588FA1F6" w:rsidR="00542521" w:rsidRPr="0056151B" w:rsidRDefault="00C657B9" w:rsidP="00676A9E">
    <w:pPr>
      <w:pStyle w:val="Pageheaders"/>
    </w:pPr>
    <w:r>
      <w:t xml:space="preserve">NO MONEY, NO PROBLEM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8" w14:textId="73FBEAD9" w:rsidR="00542521" w:rsidRPr="00676A9E" w:rsidRDefault="00C657B9" w:rsidP="00676A9E">
    <w:pPr>
      <w:pStyle w:val="Pageheaders"/>
    </w:pPr>
    <w:r>
      <w:t xml:space="preserve">Toby Potter</w:t>
    </w:r>
    <w:proofErr w:type="spellStart"/>
    <w:r>
      <w:t/>
    </w:r>
    <w:r w:rsidR="006A1C6B">
      <w:t/>
    </w:r>
    <w:proofErr w:type="spellEnd"/>
    <w: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F666D" w14:textId="77777777" w:rsidR="00542521" w:rsidRDefault="00542521" w:rsidP="007426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3AE27EB2"/>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bullet"/>
      <w:pStyle w:val="TableBullet"/>
      <w:lvlText w:val="•"/>
      <w:lvlJc w:val="left"/>
      <w:pPr>
        <w:tabs>
          <w:tab w:val="num" w:pos="360"/>
        </w:tabs>
        <w:ind w:left="357" w:hanging="357"/>
      </w:pPr>
      <w:rPr>
        <w:rFonts w:ascii="ClassGarmnd BT" w:hAnsi="ClassGarmnd BT"/>
      </w:rPr>
    </w:lvl>
    <w:lvl w:ilvl="1">
      <w:start w:val="1"/>
      <w:numFmt w:val="bullet"/>
      <w:lvlText w:val="o"/>
      <w:lvlJc w:val="left"/>
      <w:pPr>
        <w:tabs>
          <w:tab w:val="num" w:pos="1842"/>
        </w:tabs>
        <w:ind w:left="1842" w:hanging="360"/>
      </w:pPr>
      <w:rPr>
        <w:rFonts w:ascii="Courier New" w:hAnsi="Courier New"/>
      </w:rPr>
    </w:lvl>
    <w:lvl w:ilvl="2">
      <w:start w:val="1"/>
      <w:numFmt w:val="bullet"/>
      <w:lvlText w:val=""/>
      <w:lvlJc w:val="left"/>
      <w:pPr>
        <w:tabs>
          <w:tab w:val="num" w:pos="2562"/>
        </w:tabs>
        <w:ind w:left="2562" w:hanging="360"/>
      </w:pPr>
      <w:rPr>
        <w:rFonts w:ascii="Wingdings" w:hAnsi="Wingdings"/>
      </w:rPr>
    </w:lvl>
    <w:lvl w:ilvl="3">
      <w:start w:val="1"/>
      <w:numFmt w:val="bullet"/>
      <w:lvlText w:val=""/>
      <w:lvlJc w:val="left"/>
      <w:pPr>
        <w:tabs>
          <w:tab w:val="num" w:pos="3282"/>
        </w:tabs>
        <w:ind w:left="3282" w:hanging="360"/>
      </w:pPr>
      <w:rPr>
        <w:rFonts w:ascii="Symbol" w:hAnsi="Symbol"/>
      </w:rPr>
    </w:lvl>
    <w:lvl w:ilvl="4">
      <w:start w:val="1"/>
      <w:numFmt w:val="bullet"/>
      <w:lvlText w:val="o"/>
      <w:lvlJc w:val="left"/>
      <w:pPr>
        <w:tabs>
          <w:tab w:val="num" w:pos="4002"/>
        </w:tabs>
        <w:ind w:left="4002" w:hanging="360"/>
      </w:pPr>
      <w:rPr>
        <w:rFonts w:ascii="Courier New" w:hAnsi="Courier New"/>
      </w:rPr>
    </w:lvl>
    <w:lvl w:ilvl="5">
      <w:start w:val="1"/>
      <w:numFmt w:val="bullet"/>
      <w:lvlText w:val=""/>
      <w:lvlJc w:val="left"/>
      <w:pPr>
        <w:tabs>
          <w:tab w:val="num" w:pos="4722"/>
        </w:tabs>
        <w:ind w:left="4722" w:hanging="360"/>
      </w:pPr>
      <w:rPr>
        <w:rFonts w:ascii="Wingdings" w:hAnsi="Wingdings"/>
      </w:rPr>
    </w:lvl>
    <w:lvl w:ilvl="6">
      <w:start w:val="1"/>
      <w:numFmt w:val="bullet"/>
      <w:lvlText w:val=""/>
      <w:lvlJc w:val="left"/>
      <w:pPr>
        <w:tabs>
          <w:tab w:val="num" w:pos="5442"/>
        </w:tabs>
        <w:ind w:left="5442" w:hanging="360"/>
      </w:pPr>
      <w:rPr>
        <w:rFonts w:ascii="Symbol" w:hAnsi="Symbol"/>
      </w:rPr>
    </w:lvl>
    <w:lvl w:ilvl="7">
      <w:start w:val="1"/>
      <w:numFmt w:val="bullet"/>
      <w:lvlText w:val="o"/>
      <w:lvlJc w:val="left"/>
      <w:pPr>
        <w:tabs>
          <w:tab w:val="num" w:pos="6162"/>
        </w:tabs>
        <w:ind w:left="6162" w:hanging="360"/>
      </w:pPr>
      <w:rPr>
        <w:rFonts w:ascii="Courier New" w:hAnsi="Courier New"/>
      </w:rPr>
    </w:lvl>
    <w:lvl w:ilvl="8">
      <w:start w:val="1"/>
      <w:numFmt w:val="bullet"/>
      <w:lvlText w:val=""/>
      <w:lvlJc w:val="left"/>
      <w:pPr>
        <w:tabs>
          <w:tab w:val="num" w:pos="6882"/>
        </w:tabs>
        <w:ind w:left="6882" w:hanging="360"/>
      </w:pPr>
      <w:rPr>
        <w:rFonts w:ascii="Wingdings" w:hAnsi="Wingdings"/>
      </w:rPr>
    </w:lvl>
  </w:abstractNum>
  <w:abstractNum w:abstractNumId="2" w15:restartNumberingAfterBreak="0">
    <w:nsid w:val="00000003"/>
    <w:multiLevelType w:val="multilevel"/>
    <w:tmpl w:val="00000003"/>
    <w:name w:val="WW8Num3"/>
    <w:lvl w:ilvl="0">
      <w:start w:val="1"/>
      <w:numFmt w:val="decimal"/>
      <w:pStyle w:val="ListNumber"/>
      <w:lvlText w:val="%1."/>
      <w:lvlJc w:val="left"/>
      <w:pPr>
        <w:tabs>
          <w:tab w:val="num" w:pos="1570"/>
        </w:tabs>
        <w:ind w:left="1570" w:hanging="432"/>
      </w:pPr>
      <w:rPr>
        <w:b/>
      </w:rPr>
    </w:lvl>
    <w:lvl w:ilvl="1">
      <w:start w:val="1"/>
      <w:numFmt w:val="lowerLetter"/>
      <w:lvlText w:val="%2)"/>
      <w:lvlJc w:val="left"/>
      <w:pPr>
        <w:tabs>
          <w:tab w:val="num" w:pos="2002"/>
        </w:tabs>
        <w:ind w:left="2002" w:hanging="432"/>
      </w:pPr>
      <w:rPr>
        <w:b/>
      </w:rPr>
    </w:lvl>
    <w:lvl w:ilvl="2">
      <w:start w:val="1"/>
      <w:numFmt w:val="lowerRoman"/>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000004"/>
    <w:multiLevelType w:val="multilevel"/>
    <w:tmpl w:val="00000004"/>
    <w:name w:val="WW8Num4"/>
    <w:lvl w:ilvl="0">
      <w:start w:val="1"/>
      <w:numFmt w:val="bullet"/>
      <w:pStyle w:val="ListBullet"/>
      <w:lvlText w:val=""/>
      <w:lvlJc w:val="left"/>
      <w:pPr>
        <w:tabs>
          <w:tab w:val="num" w:pos="1498"/>
        </w:tabs>
        <w:ind w:left="1498" w:hanging="360"/>
      </w:pPr>
      <w:rPr>
        <w:rFonts w:ascii="Symbol" w:hAnsi="Symbol"/>
        <w:sz w:val="24"/>
      </w:rPr>
    </w:lvl>
    <w:lvl w:ilvl="1">
      <w:start w:val="1"/>
      <w:numFmt w:val="bullet"/>
      <w:lvlText w:val=""/>
      <w:lvlJc w:val="left"/>
      <w:pPr>
        <w:tabs>
          <w:tab w:val="num" w:pos="1930"/>
        </w:tabs>
        <w:ind w:left="1930" w:hanging="432"/>
      </w:pPr>
      <w:rPr>
        <w:rFonts w:ascii="Symbol" w:hAnsi="Symbol"/>
        <w:sz w:val="20"/>
      </w:rPr>
    </w:lvl>
    <w:lvl w:ilvl="2">
      <w:start w:val="1"/>
      <w:numFmt w:val="bullet"/>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3BF7522"/>
    <w:multiLevelType w:val="hybridMultilevel"/>
    <w:tmpl w:val="BF2ED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393AE3"/>
    <w:multiLevelType w:val="hybridMultilevel"/>
    <w:tmpl w:val="EC949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E24410"/>
    <w:multiLevelType w:val="hybridMultilevel"/>
    <w:tmpl w:val="A6C2DA30"/>
    <w:lvl w:ilvl="0" w:tplc="3FC86D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9936A4"/>
    <w:multiLevelType w:val="hybridMultilevel"/>
    <w:tmpl w:val="1B002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C44917"/>
    <w:multiLevelType w:val="hybridMultilevel"/>
    <w:tmpl w:val="257ECBA0"/>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33EB071E"/>
    <w:multiLevelType w:val="hybridMultilevel"/>
    <w:tmpl w:val="86A27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8166B5"/>
    <w:multiLevelType w:val="hybridMultilevel"/>
    <w:tmpl w:val="54F47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0707E7"/>
    <w:multiLevelType w:val="hybridMultilevel"/>
    <w:tmpl w:val="DE420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CE1409"/>
    <w:multiLevelType w:val="hybridMultilevel"/>
    <w:tmpl w:val="1FCC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FF22D8"/>
    <w:multiLevelType w:val="hybridMultilevel"/>
    <w:tmpl w:val="AFEA2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202EE4"/>
    <w:multiLevelType w:val="hybridMultilevel"/>
    <w:tmpl w:val="9D52F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0E3A2A"/>
    <w:multiLevelType w:val="multilevel"/>
    <w:tmpl w:val="37BC88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6CB06772"/>
    <w:multiLevelType w:val="hybridMultilevel"/>
    <w:tmpl w:val="EE444B0C"/>
    <w:lvl w:ilvl="0" w:tplc="63C60E6E">
      <w:start w:val="1"/>
      <w:numFmt w:val="bullet"/>
      <w:lvlText w:val=""/>
      <w:lvlJc w:val="left"/>
      <w:pPr>
        <w:ind w:left="720" w:hanging="360"/>
      </w:pPr>
      <w:rPr>
        <w:rFonts w:ascii="Adobe Wood Type" w:hAnsi="Adobe Wood Typ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1D22BD"/>
    <w:multiLevelType w:val="hybridMultilevel"/>
    <w:tmpl w:val="0798A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4653043">
    <w:abstractNumId w:val="0"/>
  </w:num>
  <w:num w:numId="2" w16cid:durableId="2104108099">
    <w:abstractNumId w:val="1"/>
  </w:num>
  <w:num w:numId="3" w16cid:durableId="1008558607">
    <w:abstractNumId w:val="2"/>
  </w:num>
  <w:num w:numId="4" w16cid:durableId="907347754">
    <w:abstractNumId w:val="3"/>
  </w:num>
  <w:num w:numId="5" w16cid:durableId="456873327">
    <w:abstractNumId w:val="7"/>
  </w:num>
  <w:num w:numId="6" w16cid:durableId="1128280297">
    <w:abstractNumId w:val="6"/>
  </w:num>
  <w:num w:numId="7" w16cid:durableId="325282003">
    <w:abstractNumId w:val="12"/>
  </w:num>
  <w:num w:numId="8" w16cid:durableId="360057937">
    <w:abstractNumId w:val="17"/>
  </w:num>
  <w:num w:numId="9" w16cid:durableId="1787843986">
    <w:abstractNumId w:val="10"/>
  </w:num>
  <w:num w:numId="10" w16cid:durableId="963778510">
    <w:abstractNumId w:val="11"/>
  </w:num>
  <w:num w:numId="11" w16cid:durableId="204102385">
    <w:abstractNumId w:val="13"/>
  </w:num>
  <w:num w:numId="12" w16cid:durableId="1132140312">
    <w:abstractNumId w:val="5"/>
  </w:num>
  <w:num w:numId="13" w16cid:durableId="415833259">
    <w:abstractNumId w:val="4"/>
  </w:num>
  <w:num w:numId="14" w16cid:durableId="247202747">
    <w:abstractNumId w:val="9"/>
  </w:num>
  <w:num w:numId="15" w16cid:durableId="463740797">
    <w:abstractNumId w:val="8"/>
  </w:num>
  <w:num w:numId="16" w16cid:durableId="1985088198">
    <w:abstractNumId w:val="14"/>
  </w:num>
  <w:num w:numId="17" w16cid:durableId="263459007">
    <w:abstractNumId w:val="15"/>
  </w:num>
  <w:num w:numId="18" w16cid:durableId="20720011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embedSystemFonts/>
  <w:hideSpelling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9AF"/>
    <w:rsid w:val="00003A51"/>
    <w:rsid w:val="0001155A"/>
    <w:rsid w:val="00017C16"/>
    <w:rsid w:val="00025E34"/>
    <w:rsid w:val="00032F90"/>
    <w:rsid w:val="0004216C"/>
    <w:rsid w:val="00043C1A"/>
    <w:rsid w:val="0007600D"/>
    <w:rsid w:val="000779BE"/>
    <w:rsid w:val="000819AF"/>
    <w:rsid w:val="00093F16"/>
    <w:rsid w:val="00096E96"/>
    <w:rsid w:val="000A49F0"/>
    <w:rsid w:val="000B0561"/>
    <w:rsid w:val="000B36A3"/>
    <w:rsid w:val="000B37C0"/>
    <w:rsid w:val="000B434B"/>
    <w:rsid w:val="000B627C"/>
    <w:rsid w:val="000B7327"/>
    <w:rsid w:val="000C0D31"/>
    <w:rsid w:val="000C4981"/>
    <w:rsid w:val="000D3CC8"/>
    <w:rsid w:val="000F1C7F"/>
    <w:rsid w:val="00104EE2"/>
    <w:rsid w:val="00105C23"/>
    <w:rsid w:val="00106314"/>
    <w:rsid w:val="00131C15"/>
    <w:rsid w:val="0013396D"/>
    <w:rsid w:val="00156443"/>
    <w:rsid w:val="00157DC2"/>
    <w:rsid w:val="001861DF"/>
    <w:rsid w:val="00186B91"/>
    <w:rsid w:val="00192F61"/>
    <w:rsid w:val="0019484A"/>
    <w:rsid w:val="001A3DA4"/>
    <w:rsid w:val="001B186F"/>
    <w:rsid w:val="001B5BE7"/>
    <w:rsid w:val="001C2EED"/>
    <w:rsid w:val="001D406F"/>
    <w:rsid w:val="001D687D"/>
    <w:rsid w:val="001D7107"/>
    <w:rsid w:val="001E2B9F"/>
    <w:rsid w:val="001F3C9F"/>
    <w:rsid w:val="00201FEB"/>
    <w:rsid w:val="002063F9"/>
    <w:rsid w:val="00220F36"/>
    <w:rsid w:val="002440D4"/>
    <w:rsid w:val="002653E2"/>
    <w:rsid w:val="002708BC"/>
    <w:rsid w:val="002969BF"/>
    <w:rsid w:val="002A5D8A"/>
    <w:rsid w:val="002B3564"/>
    <w:rsid w:val="002C655D"/>
    <w:rsid w:val="002D12AA"/>
    <w:rsid w:val="002D2247"/>
    <w:rsid w:val="002E45FE"/>
    <w:rsid w:val="002E61D7"/>
    <w:rsid w:val="0030300A"/>
    <w:rsid w:val="0031563D"/>
    <w:rsid w:val="00316B26"/>
    <w:rsid w:val="00320DA5"/>
    <w:rsid w:val="00323C7A"/>
    <w:rsid w:val="0035568E"/>
    <w:rsid w:val="00357F55"/>
    <w:rsid w:val="0036640F"/>
    <w:rsid w:val="003715A0"/>
    <w:rsid w:val="00375F9A"/>
    <w:rsid w:val="0037796A"/>
    <w:rsid w:val="0038534D"/>
    <w:rsid w:val="0038642F"/>
    <w:rsid w:val="00387612"/>
    <w:rsid w:val="003A32CC"/>
    <w:rsid w:val="003A5E62"/>
    <w:rsid w:val="003A6EAC"/>
    <w:rsid w:val="003B0C0C"/>
    <w:rsid w:val="003C0EFC"/>
    <w:rsid w:val="003C0F28"/>
    <w:rsid w:val="003E1DFD"/>
    <w:rsid w:val="003E627B"/>
    <w:rsid w:val="003F0D31"/>
    <w:rsid w:val="003F10E9"/>
    <w:rsid w:val="003F6127"/>
    <w:rsid w:val="003F630E"/>
    <w:rsid w:val="003F76F5"/>
    <w:rsid w:val="00405ADE"/>
    <w:rsid w:val="00414565"/>
    <w:rsid w:val="004608ED"/>
    <w:rsid w:val="00472422"/>
    <w:rsid w:val="00477416"/>
    <w:rsid w:val="004915C1"/>
    <w:rsid w:val="00494762"/>
    <w:rsid w:val="004A7048"/>
    <w:rsid w:val="004B0942"/>
    <w:rsid w:val="004C4FA5"/>
    <w:rsid w:val="004E3B9F"/>
    <w:rsid w:val="004F384D"/>
    <w:rsid w:val="00502B4E"/>
    <w:rsid w:val="00514526"/>
    <w:rsid w:val="00515669"/>
    <w:rsid w:val="00515E86"/>
    <w:rsid w:val="00530DC3"/>
    <w:rsid w:val="00535FFB"/>
    <w:rsid w:val="00542521"/>
    <w:rsid w:val="00551463"/>
    <w:rsid w:val="00557FF5"/>
    <w:rsid w:val="0056151B"/>
    <w:rsid w:val="00561F55"/>
    <w:rsid w:val="00575C9C"/>
    <w:rsid w:val="00582ACC"/>
    <w:rsid w:val="005B49CD"/>
    <w:rsid w:val="005B4C81"/>
    <w:rsid w:val="005C0934"/>
    <w:rsid w:val="005C50C7"/>
    <w:rsid w:val="005C5C95"/>
    <w:rsid w:val="00615742"/>
    <w:rsid w:val="006215EA"/>
    <w:rsid w:val="00650B36"/>
    <w:rsid w:val="00676A9E"/>
    <w:rsid w:val="0068134A"/>
    <w:rsid w:val="00681BB0"/>
    <w:rsid w:val="006874A7"/>
    <w:rsid w:val="006A1C6B"/>
    <w:rsid w:val="006A5044"/>
    <w:rsid w:val="006A70C8"/>
    <w:rsid w:val="006B044E"/>
    <w:rsid w:val="006B17F7"/>
    <w:rsid w:val="006B320E"/>
    <w:rsid w:val="006B349D"/>
    <w:rsid w:val="006C15EF"/>
    <w:rsid w:val="006C662E"/>
    <w:rsid w:val="006C6FC8"/>
    <w:rsid w:val="006D0F02"/>
    <w:rsid w:val="006D3B17"/>
    <w:rsid w:val="006E0A5D"/>
    <w:rsid w:val="006E2319"/>
    <w:rsid w:val="006F1234"/>
    <w:rsid w:val="006F6710"/>
    <w:rsid w:val="006F6ADF"/>
    <w:rsid w:val="00704831"/>
    <w:rsid w:val="00705F0B"/>
    <w:rsid w:val="00710C61"/>
    <w:rsid w:val="0071356F"/>
    <w:rsid w:val="00726065"/>
    <w:rsid w:val="00726B7D"/>
    <w:rsid w:val="007342FF"/>
    <w:rsid w:val="00735899"/>
    <w:rsid w:val="00740EB2"/>
    <w:rsid w:val="00742613"/>
    <w:rsid w:val="00745855"/>
    <w:rsid w:val="0074693C"/>
    <w:rsid w:val="00751C55"/>
    <w:rsid w:val="00761964"/>
    <w:rsid w:val="00764DAF"/>
    <w:rsid w:val="00770EF2"/>
    <w:rsid w:val="00774BEE"/>
    <w:rsid w:val="0078101A"/>
    <w:rsid w:val="007857C6"/>
    <w:rsid w:val="007A6D30"/>
    <w:rsid w:val="007A7B3C"/>
    <w:rsid w:val="007B41BE"/>
    <w:rsid w:val="007C008C"/>
    <w:rsid w:val="007D31B2"/>
    <w:rsid w:val="007D6A08"/>
    <w:rsid w:val="007F2BD8"/>
    <w:rsid w:val="007F2F02"/>
    <w:rsid w:val="00810B1B"/>
    <w:rsid w:val="00815C16"/>
    <w:rsid w:val="00842641"/>
    <w:rsid w:val="00850422"/>
    <w:rsid w:val="008510F0"/>
    <w:rsid w:val="00863840"/>
    <w:rsid w:val="00864F58"/>
    <w:rsid w:val="0086575D"/>
    <w:rsid w:val="00883948"/>
    <w:rsid w:val="0089102C"/>
    <w:rsid w:val="00894979"/>
    <w:rsid w:val="0089593F"/>
    <w:rsid w:val="00896BE6"/>
    <w:rsid w:val="008A3773"/>
    <w:rsid w:val="008A714D"/>
    <w:rsid w:val="008C012B"/>
    <w:rsid w:val="008D5567"/>
    <w:rsid w:val="008E276C"/>
    <w:rsid w:val="008F56E6"/>
    <w:rsid w:val="008F5F38"/>
    <w:rsid w:val="008F6AF7"/>
    <w:rsid w:val="008F6C82"/>
    <w:rsid w:val="008F7B3F"/>
    <w:rsid w:val="0090006A"/>
    <w:rsid w:val="009015B4"/>
    <w:rsid w:val="009032A5"/>
    <w:rsid w:val="00905FA3"/>
    <w:rsid w:val="00907BF1"/>
    <w:rsid w:val="0091380B"/>
    <w:rsid w:val="00927D6B"/>
    <w:rsid w:val="00937275"/>
    <w:rsid w:val="00951A6E"/>
    <w:rsid w:val="009628DA"/>
    <w:rsid w:val="009653A0"/>
    <w:rsid w:val="00977223"/>
    <w:rsid w:val="009773CD"/>
    <w:rsid w:val="00984401"/>
    <w:rsid w:val="0098570A"/>
    <w:rsid w:val="00986640"/>
    <w:rsid w:val="009921A5"/>
    <w:rsid w:val="00993E93"/>
    <w:rsid w:val="009A0DFE"/>
    <w:rsid w:val="009A0E58"/>
    <w:rsid w:val="009A728D"/>
    <w:rsid w:val="009A7C3F"/>
    <w:rsid w:val="009B5BB1"/>
    <w:rsid w:val="009C13E0"/>
    <w:rsid w:val="009D2502"/>
    <w:rsid w:val="009F03CC"/>
    <w:rsid w:val="009F7DCC"/>
    <w:rsid w:val="00A01DD7"/>
    <w:rsid w:val="00A02FC8"/>
    <w:rsid w:val="00A11576"/>
    <w:rsid w:val="00A146A0"/>
    <w:rsid w:val="00A239DA"/>
    <w:rsid w:val="00A25B6F"/>
    <w:rsid w:val="00A276AD"/>
    <w:rsid w:val="00A366E4"/>
    <w:rsid w:val="00A43C8B"/>
    <w:rsid w:val="00A43F45"/>
    <w:rsid w:val="00A44242"/>
    <w:rsid w:val="00A45D59"/>
    <w:rsid w:val="00A476C8"/>
    <w:rsid w:val="00A50F69"/>
    <w:rsid w:val="00A51266"/>
    <w:rsid w:val="00A63BE3"/>
    <w:rsid w:val="00A72D35"/>
    <w:rsid w:val="00A80083"/>
    <w:rsid w:val="00A81489"/>
    <w:rsid w:val="00A9525C"/>
    <w:rsid w:val="00AB154B"/>
    <w:rsid w:val="00AB6BB1"/>
    <w:rsid w:val="00AC2F9A"/>
    <w:rsid w:val="00AC307A"/>
    <w:rsid w:val="00AC5A25"/>
    <w:rsid w:val="00AC636F"/>
    <w:rsid w:val="00AD26C4"/>
    <w:rsid w:val="00AD65D8"/>
    <w:rsid w:val="00AD795A"/>
    <w:rsid w:val="00AE0587"/>
    <w:rsid w:val="00AE321C"/>
    <w:rsid w:val="00AE72DC"/>
    <w:rsid w:val="00AF140C"/>
    <w:rsid w:val="00B05F33"/>
    <w:rsid w:val="00B16DA0"/>
    <w:rsid w:val="00B34C6D"/>
    <w:rsid w:val="00B35EBE"/>
    <w:rsid w:val="00B42055"/>
    <w:rsid w:val="00B440E4"/>
    <w:rsid w:val="00B75821"/>
    <w:rsid w:val="00B8159F"/>
    <w:rsid w:val="00BA0DF4"/>
    <w:rsid w:val="00BA2412"/>
    <w:rsid w:val="00BA2E75"/>
    <w:rsid w:val="00BC66FA"/>
    <w:rsid w:val="00BD40CA"/>
    <w:rsid w:val="00BD48DB"/>
    <w:rsid w:val="00BE039C"/>
    <w:rsid w:val="00BE7826"/>
    <w:rsid w:val="00BF0583"/>
    <w:rsid w:val="00BF468A"/>
    <w:rsid w:val="00C021FD"/>
    <w:rsid w:val="00C13D9B"/>
    <w:rsid w:val="00C1574A"/>
    <w:rsid w:val="00C222E1"/>
    <w:rsid w:val="00C330B7"/>
    <w:rsid w:val="00C37571"/>
    <w:rsid w:val="00C558A2"/>
    <w:rsid w:val="00C61466"/>
    <w:rsid w:val="00C622E4"/>
    <w:rsid w:val="00C657B9"/>
    <w:rsid w:val="00C82DCB"/>
    <w:rsid w:val="00C90FD6"/>
    <w:rsid w:val="00C919F9"/>
    <w:rsid w:val="00C926AB"/>
    <w:rsid w:val="00CA2B7F"/>
    <w:rsid w:val="00CA629A"/>
    <w:rsid w:val="00CC1189"/>
    <w:rsid w:val="00CC3442"/>
    <w:rsid w:val="00CC7509"/>
    <w:rsid w:val="00CE72BB"/>
    <w:rsid w:val="00CF11BA"/>
    <w:rsid w:val="00D03F77"/>
    <w:rsid w:val="00D045AB"/>
    <w:rsid w:val="00D05099"/>
    <w:rsid w:val="00D05129"/>
    <w:rsid w:val="00D262EA"/>
    <w:rsid w:val="00D30A0B"/>
    <w:rsid w:val="00D32EE8"/>
    <w:rsid w:val="00D37536"/>
    <w:rsid w:val="00D37B15"/>
    <w:rsid w:val="00D443F3"/>
    <w:rsid w:val="00D4507C"/>
    <w:rsid w:val="00D463CE"/>
    <w:rsid w:val="00D50E47"/>
    <w:rsid w:val="00D6304F"/>
    <w:rsid w:val="00D63502"/>
    <w:rsid w:val="00D70E7E"/>
    <w:rsid w:val="00D730D2"/>
    <w:rsid w:val="00D7396D"/>
    <w:rsid w:val="00D804E9"/>
    <w:rsid w:val="00D80681"/>
    <w:rsid w:val="00D82720"/>
    <w:rsid w:val="00D94BC5"/>
    <w:rsid w:val="00DA3460"/>
    <w:rsid w:val="00DB2A96"/>
    <w:rsid w:val="00DC4682"/>
    <w:rsid w:val="00DC716B"/>
    <w:rsid w:val="00DD1A03"/>
    <w:rsid w:val="00DE4A32"/>
    <w:rsid w:val="00DF2B17"/>
    <w:rsid w:val="00E2641F"/>
    <w:rsid w:val="00E33C06"/>
    <w:rsid w:val="00E34D41"/>
    <w:rsid w:val="00E52211"/>
    <w:rsid w:val="00E541C2"/>
    <w:rsid w:val="00E72DB8"/>
    <w:rsid w:val="00E93ED0"/>
    <w:rsid w:val="00EA3E70"/>
    <w:rsid w:val="00EA6E51"/>
    <w:rsid w:val="00EC04E1"/>
    <w:rsid w:val="00EC14EA"/>
    <w:rsid w:val="00EC2818"/>
    <w:rsid w:val="00EC6244"/>
    <w:rsid w:val="00EE1E38"/>
    <w:rsid w:val="00EE2A03"/>
    <w:rsid w:val="00EE6B64"/>
    <w:rsid w:val="00EE7BE4"/>
    <w:rsid w:val="00F1504E"/>
    <w:rsid w:val="00F1508B"/>
    <w:rsid w:val="00F1752E"/>
    <w:rsid w:val="00F252E3"/>
    <w:rsid w:val="00F25E63"/>
    <w:rsid w:val="00F33F37"/>
    <w:rsid w:val="00F461E9"/>
    <w:rsid w:val="00F5566D"/>
    <w:rsid w:val="00F57734"/>
    <w:rsid w:val="00F677F9"/>
    <w:rsid w:val="00F72222"/>
    <w:rsid w:val="00F73651"/>
    <w:rsid w:val="00F800DF"/>
    <w:rsid w:val="00F82CFF"/>
    <w:rsid w:val="00F84F44"/>
    <w:rsid w:val="00FA6CE3"/>
    <w:rsid w:val="00FB777B"/>
    <w:rsid w:val="00FC09E7"/>
    <w:rsid w:val="00FD321D"/>
    <w:rsid w:val="00FE0744"/>
    <w:rsid w:val="00FE2351"/>
    <w:rsid w:val="00FE4FC8"/>
    <w:rsid w:val="00FF4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91F65DC"/>
  <w15:docId w15:val="{DAB50D97-A077-41A1-8945-B24ABA37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semiHidden="1" w:uiPriority="9" w:unhideWhenUsed="1" w:qFormat="1"/>
    <w:lsdException w:name="heading 6" w:semiHidden="1" w:uiPriority="0" w:unhideWhenUsed="1"/>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42613"/>
    <w:pPr>
      <w:widowControl w:val="0"/>
      <w:suppressAutoHyphens/>
      <w:spacing w:line="312" w:lineRule="auto"/>
    </w:pPr>
    <w:rPr>
      <w:rFonts w:ascii="Century Gothic" w:eastAsia="Calibri" w:hAnsi="Century Gothic" w:cs="Calibri"/>
      <w:sz w:val="22"/>
      <w:szCs w:val="22"/>
      <w:lang w:eastAsia="hi-IN" w:bidi="hi-IN"/>
    </w:rPr>
  </w:style>
  <w:style w:type="paragraph" w:styleId="Heading1">
    <w:name w:val="heading 1"/>
    <w:next w:val="BodyText"/>
    <w:link w:val="Heading1Char"/>
    <w:uiPriority w:val="9"/>
    <w:qFormat/>
    <w:rsid w:val="006F6ADF"/>
    <w:pPr>
      <w:widowControl w:val="0"/>
      <w:numPr>
        <w:numId w:val="1"/>
      </w:numPr>
      <w:spacing w:before="2520"/>
      <w:ind w:left="0" w:firstLine="0"/>
      <w:jc w:val="center"/>
      <w:outlineLvl w:val="0"/>
    </w:pPr>
    <w:rPr>
      <w:rFonts w:ascii="Aleo" w:eastAsia="Arial Unicode MS" w:hAnsi="Aleo"/>
      <w:spacing w:val="126"/>
      <w:kern w:val="52"/>
      <w:sz w:val="36"/>
      <w:szCs w:val="36"/>
      <w:lang w:val="en-AU" w:eastAsia="zh-CN"/>
    </w:rPr>
  </w:style>
  <w:style w:type="paragraph" w:styleId="Heading2">
    <w:name w:val="heading 2"/>
    <w:basedOn w:val="Heading1"/>
    <w:next w:val="BodyText"/>
    <w:link w:val="Heading2Char"/>
    <w:uiPriority w:val="9"/>
    <w:pPr>
      <w:numPr>
        <w:ilvl w:val="1"/>
      </w:numPr>
      <w:pBdr>
        <w:top w:val="single" w:sz="20" w:space="1" w:color="C0C0C0"/>
      </w:pBdr>
      <w:spacing w:before="560" w:after="200"/>
      <w:outlineLvl w:val="1"/>
    </w:pPr>
    <w:rPr>
      <w:sz w:val="32"/>
    </w:rPr>
  </w:style>
  <w:style w:type="paragraph" w:styleId="Heading3">
    <w:name w:val="heading 3"/>
    <w:basedOn w:val="Heading2"/>
    <w:next w:val="BodyText"/>
    <w:link w:val="Heading3Char"/>
    <w:uiPriority w:val="9"/>
    <w:pPr>
      <w:numPr>
        <w:ilvl w:val="2"/>
      </w:numPr>
      <w:pBdr>
        <w:top w:val="none" w:sz="0" w:space="0" w:color="auto"/>
      </w:pBdr>
      <w:ind w:left="567" w:firstLine="0"/>
      <w:outlineLvl w:val="2"/>
    </w:pPr>
    <w:rPr>
      <w:sz w:val="28"/>
    </w:rPr>
  </w:style>
  <w:style w:type="paragraph" w:styleId="Heading4">
    <w:name w:val="heading 4"/>
    <w:basedOn w:val="Heading3"/>
    <w:next w:val="BodyText"/>
    <w:link w:val="Heading4Char"/>
    <w:uiPriority w:val="9"/>
    <w:pPr>
      <w:numPr>
        <w:ilvl w:val="3"/>
      </w:numPr>
      <w:spacing w:before="480"/>
      <w:ind w:left="1134" w:firstLine="0"/>
      <w:outlineLvl w:val="3"/>
    </w:pPr>
    <w:rPr>
      <w:sz w:val="24"/>
    </w:rPr>
  </w:style>
  <w:style w:type="paragraph" w:styleId="Heading5">
    <w:name w:val="heading 5"/>
    <w:basedOn w:val="Normal"/>
    <w:next w:val="Normal"/>
    <w:link w:val="Heading5Char"/>
    <w:uiPriority w:val="9"/>
    <w:semiHidden/>
    <w:unhideWhenUsed/>
    <w:qFormat/>
    <w:rsid w:val="00156443"/>
    <w:pPr>
      <w:widowControl/>
      <w:tabs>
        <w:tab w:val="num" w:pos="3600"/>
      </w:tabs>
      <w:spacing w:before="240" w:after="60" w:line="302" w:lineRule="auto"/>
      <w:ind w:left="3600" w:right="66" w:hanging="720"/>
      <w:outlineLvl w:val="4"/>
    </w:pPr>
    <w:rPr>
      <w:rFonts w:ascii="Garamond" w:hAnsi="Garamond" w:cs="Times New Roman"/>
      <w:b/>
      <w:bCs/>
      <w:i/>
      <w:iCs/>
      <w:spacing w:val="-1"/>
      <w:lang w:val="fr-FR" w:eastAsia="en-US"/>
    </w:rPr>
  </w:style>
  <w:style w:type="paragraph" w:styleId="Heading6">
    <w:name w:val="heading 6"/>
    <w:basedOn w:val="Normal"/>
    <w:next w:val="Normal"/>
    <w:link w:val="Heading6Char"/>
    <w:rsid w:val="00156443"/>
    <w:pPr>
      <w:widowControl/>
      <w:tabs>
        <w:tab w:val="num" w:pos="4320"/>
      </w:tabs>
      <w:spacing w:before="240" w:after="60" w:line="302" w:lineRule="auto"/>
      <w:ind w:left="4320" w:right="66" w:hanging="720"/>
      <w:outlineLvl w:val="5"/>
    </w:pPr>
    <w:rPr>
      <w:rFonts w:ascii="Times New Roman" w:hAnsi="Times New Roman" w:cs="Times New Roman"/>
      <w:b/>
      <w:bCs/>
      <w:spacing w:val="-1"/>
      <w:lang w:val="fr-FR" w:eastAsia="en-US"/>
    </w:rPr>
  </w:style>
  <w:style w:type="paragraph" w:styleId="Heading7">
    <w:name w:val="heading 7"/>
    <w:basedOn w:val="Normal"/>
    <w:next w:val="Normal"/>
    <w:uiPriority w:val="9"/>
    <w:pPr>
      <w:numPr>
        <w:ilvl w:val="6"/>
        <w:numId w:val="1"/>
      </w:numPr>
      <w:spacing w:before="240" w:after="60"/>
      <w:outlineLvl w:val="6"/>
    </w:pPr>
    <w:rPr>
      <w:rFonts w:ascii="Calibri" w:hAnsi="Calibri"/>
      <w:szCs w:val="24"/>
      <w:lang w:val="x-none"/>
    </w:rPr>
  </w:style>
  <w:style w:type="paragraph" w:styleId="Heading8">
    <w:name w:val="heading 8"/>
    <w:basedOn w:val="Normal"/>
    <w:next w:val="Normal"/>
    <w:link w:val="Heading8Char"/>
    <w:uiPriority w:val="9"/>
    <w:semiHidden/>
    <w:unhideWhenUsed/>
    <w:qFormat/>
    <w:rsid w:val="00156443"/>
    <w:pPr>
      <w:widowControl/>
      <w:tabs>
        <w:tab w:val="num" w:pos="5760"/>
      </w:tabs>
      <w:spacing w:before="240" w:after="60" w:line="302" w:lineRule="auto"/>
      <w:ind w:left="5760" w:right="66" w:hanging="720"/>
      <w:outlineLvl w:val="7"/>
    </w:pPr>
    <w:rPr>
      <w:rFonts w:ascii="Garamond" w:hAnsi="Garamond" w:cs="Times New Roman"/>
      <w:i/>
      <w:iCs/>
      <w:spacing w:val="-1"/>
      <w:sz w:val="24"/>
      <w:szCs w:val="24"/>
      <w:lang w:val="fr-FR" w:eastAsia="en-US"/>
    </w:rPr>
  </w:style>
  <w:style w:type="paragraph" w:styleId="Heading9">
    <w:name w:val="heading 9"/>
    <w:basedOn w:val="Normal"/>
    <w:next w:val="Normal"/>
    <w:link w:val="Heading9Char"/>
    <w:uiPriority w:val="9"/>
    <w:semiHidden/>
    <w:unhideWhenUsed/>
    <w:qFormat/>
    <w:rsid w:val="00156443"/>
    <w:pPr>
      <w:widowControl/>
      <w:tabs>
        <w:tab w:val="num" w:pos="6480"/>
      </w:tabs>
      <w:spacing w:before="240" w:after="60" w:line="302" w:lineRule="auto"/>
      <w:ind w:left="6480" w:right="66" w:hanging="720"/>
      <w:outlineLvl w:val="8"/>
    </w:pPr>
    <w:rPr>
      <w:rFonts w:ascii="Cambria" w:hAnsi="Cambria" w:cs="Times New Roman"/>
      <w:spacing w:val="-1"/>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ClassGarmnd BT" w:hAnsi="ClassGarmnd BT"/>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3z0">
    <w:name w:val="WW8Num3z0"/>
    <w:rPr>
      <w:b/>
    </w:rPr>
  </w:style>
  <w:style w:type="character" w:customStyle="1" w:styleId="WW8Num4z0">
    <w:name w:val="WW8Num4z0"/>
    <w:rPr>
      <w:rFonts w:ascii="Symbol" w:hAnsi="Symbol"/>
      <w:color w:val="auto"/>
      <w:sz w:val="24"/>
    </w:rPr>
  </w:style>
  <w:style w:type="character" w:customStyle="1" w:styleId="WW8Num4z1">
    <w:name w:val="WW8Num4z1"/>
    <w:rPr>
      <w:rFonts w:ascii="Symbol" w:hAnsi="Symbol"/>
      <w:color w:val="auto"/>
      <w:sz w:val="20"/>
    </w:rPr>
  </w:style>
  <w:style w:type="character" w:customStyle="1" w:styleId="WW8Num4z2">
    <w:name w:val="WW8Num4z2"/>
    <w:rPr>
      <w:rFonts w:ascii="Wingdings" w:hAnsi="Wingdings"/>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ClassGarmnd BT" w:hAnsi="ClassGarmnd BT"/>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ClassGarmnd BT" w:hAnsi="ClassGarmnd BT"/>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b/>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color w:val="auto"/>
      <w:sz w:val="24"/>
    </w:rPr>
  </w:style>
  <w:style w:type="character" w:customStyle="1" w:styleId="WW8Num19z1">
    <w:name w:val="WW8Num19z1"/>
    <w:rPr>
      <w:rFonts w:ascii="Symbol" w:hAnsi="Symbol"/>
      <w:color w:val="auto"/>
      <w:sz w:val="20"/>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19z4">
    <w:name w:val="WW8Num19z4"/>
    <w:rPr>
      <w:rFonts w:ascii="Courier New" w:hAnsi="Courier New"/>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Symbol" w:hAnsi="Symbol"/>
      <w:color w:val="auto"/>
      <w:sz w:val="24"/>
    </w:rPr>
  </w:style>
  <w:style w:type="character" w:customStyle="1" w:styleId="WW8Num22z1">
    <w:name w:val="WW8Num22z1"/>
    <w:rPr>
      <w:rFonts w:ascii="Symbol" w:hAnsi="Symbol"/>
      <w:color w:val="auto"/>
      <w:sz w:val="20"/>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DefaultParagraphFont">
    <w:name w:val="WW-Default Paragraph Font"/>
  </w:style>
  <w:style w:type="character" w:styleId="PageNumber">
    <w:name w:val="page number"/>
    <w:rPr>
      <w:b/>
      <w:sz w:val="24"/>
      <w:szCs w:val="24"/>
    </w:rPr>
  </w:style>
  <w:style w:type="character" w:styleId="Hyperlink">
    <w:name w:val="Hyperlink"/>
    <w:uiPriority w:val="99"/>
    <w:rsid w:val="0056151B"/>
    <w:rPr>
      <w:b/>
      <w:color w:val="548DD4"/>
      <w:u w:val="single"/>
    </w:rPr>
  </w:style>
  <w:style w:type="character" w:customStyle="1" w:styleId="Heading7Char">
    <w:name w:val="Heading 7 Char"/>
    <w:uiPriority w:val="9"/>
    <w:rPr>
      <w:rFonts w:ascii="Calibri" w:eastAsia="Times New Roman" w:hAnsi="Calibri" w:cs="Times New Roman"/>
      <w:sz w:val="24"/>
      <w:szCs w:val="24"/>
    </w:rPr>
  </w:style>
  <w:style w:type="character" w:customStyle="1" w:styleId="BodyTextChar">
    <w:name w:val="Body Text Char"/>
    <w:aliases w:val="Body Text Char1 Char,Body Text Char Char Char,Body Text Char Char Char Char Char,Body Text1 Char Char,Body Text Char Char1 Char"/>
    <w:rPr>
      <w:sz w:val="24"/>
      <w:lang w:val="en-AU" w:eastAsia="ar-SA" w:bidi="ar-SA"/>
    </w:rPr>
  </w:style>
  <w:style w:type="character" w:customStyle="1" w:styleId="BodyTextFirstIndentChar">
    <w:name w:val="Body Text First Indent Char"/>
    <w:rPr>
      <w:rFonts w:ascii="Book Antiqua" w:hAnsi="Book Antiqua"/>
      <w:sz w:val="24"/>
      <w:lang w:val="en-AU"/>
    </w:rPr>
  </w:style>
  <w:style w:type="character" w:customStyle="1" w:styleId="FootnoteCharacters">
    <w:name w:val="Footnote Characters"/>
    <w:rPr>
      <w:vertAlign w:val="superscript"/>
    </w:rPr>
  </w:style>
  <w:style w:type="character" w:customStyle="1" w:styleId="FootnoteTextChar">
    <w:name w:val="Footnote Text Char"/>
    <w:rPr>
      <w:rFonts w:ascii="Arial" w:hAnsi="Arial"/>
      <w:sz w:val="18"/>
      <w:szCs w:val="24"/>
    </w:rPr>
  </w:style>
  <w:style w:type="character" w:styleId="Emphasis">
    <w:name w:val="Emphasis"/>
    <w:uiPriority w:val="20"/>
    <w:rPr>
      <w:caps/>
      <w:sz w:val="18"/>
    </w:rPr>
  </w:style>
  <w:style w:type="character" w:customStyle="1" w:styleId="HeadingBaseChar">
    <w:name w:val="Heading Base Char"/>
    <w:rPr>
      <w:rFonts w:ascii="Arial" w:hAnsi="Arial"/>
      <w:kern w:val="1"/>
      <w:sz w:val="24"/>
      <w:szCs w:val="24"/>
    </w:rPr>
  </w:style>
  <w:style w:type="character" w:customStyle="1" w:styleId="NoSpacingChar">
    <w:name w:val="No Spacing Char"/>
    <w:uiPriority w:val="1"/>
    <w:rPr>
      <w:rFonts w:ascii="Calibri" w:hAnsi="Calibri"/>
      <w:sz w:val="22"/>
      <w:szCs w:val="22"/>
      <w:lang w:eastAsia="ar-SA" w:bidi="ar-SA"/>
    </w:rPr>
  </w:style>
  <w:style w:type="character" w:customStyle="1" w:styleId="HeaderChar">
    <w:name w:val="Header Char"/>
    <w:uiPriority w:val="99"/>
    <w:rPr>
      <w:rFonts w:ascii="Arial Unicode MS" w:hAnsi="Arial Unicode MS"/>
      <w:sz w:val="18"/>
      <w:lang w:val="en-AU"/>
    </w:rPr>
  </w:style>
  <w:style w:type="character" w:customStyle="1" w:styleId="BalloonTextChar">
    <w:name w:val="Balloon Text Char"/>
    <w:uiPriority w:val="99"/>
    <w:rPr>
      <w:rFonts w:ascii="Tahoma" w:hAnsi="Tahoma" w:cs="Tahoma"/>
      <w:sz w:val="16"/>
      <w:szCs w:val="16"/>
    </w:rPr>
  </w:style>
  <w:style w:type="character" w:customStyle="1" w:styleId="projectsummarylight">
    <w:name w:val="projectsummarylight"/>
  </w:style>
  <w:style w:type="character" w:customStyle="1" w:styleId="st">
    <w:name w:val="st"/>
  </w:style>
  <w:style w:type="character" w:customStyle="1" w:styleId="watch-title">
    <w:name w:val="watch-title"/>
  </w:style>
  <w:style w:type="character" w:styleId="CommentReference">
    <w:name w:val="annotation reference"/>
    <w:uiPriority w:val="99"/>
    <w:rPr>
      <w:sz w:val="16"/>
      <w:szCs w:val="16"/>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aliases w:val="Body Text Char1,Body Text Char Char,Body Text Char Char Char Char,Body Text1 Char,Body Text Char Char1"/>
    <w:basedOn w:val="Normal"/>
    <w:pPr>
      <w:spacing w:before="240" w:after="120"/>
      <w:ind w:right="720"/>
      <w:jc w:val="both"/>
    </w:pPr>
  </w:style>
  <w:style w:type="paragraph" w:styleId="List">
    <w:name w:val="List"/>
    <w:aliases w:val="(X1)"/>
    <w:basedOn w:val="BodyText"/>
    <w:rPr>
      <w:rFonts w:cs="Mangal"/>
    </w:rPr>
  </w:style>
  <w:style w:type="paragraph" w:styleId="Caption">
    <w:name w:val="caption"/>
    <w:basedOn w:val="Normal"/>
    <w:next w:val="BodyText"/>
    <w:qFormat/>
    <w:pPr>
      <w:keepNext/>
      <w:widowControl/>
      <w:spacing w:before="60" w:after="240" w:line="200" w:lineRule="atLeast"/>
      <w:ind w:left="1920" w:hanging="120"/>
    </w:pPr>
    <w:rPr>
      <w:rFonts w:ascii="Garamond" w:hAnsi="Garamond"/>
      <w:i/>
      <w:spacing w:val="5"/>
      <w:sz w:val="20"/>
    </w:rPr>
  </w:style>
  <w:style w:type="paragraph" w:customStyle="1" w:styleId="Index">
    <w:name w:val="Index"/>
    <w:basedOn w:val="Normal"/>
    <w:pPr>
      <w:suppressLineNumbers/>
    </w:pPr>
    <w:rPr>
      <w:rFonts w:cs="Mangal"/>
    </w:rPr>
  </w:style>
  <w:style w:type="paragraph" w:styleId="BodyTextIndent">
    <w:name w:val="Body Text Indent"/>
    <w:basedOn w:val="BodyText"/>
    <w:pPr>
      <w:ind w:left="1701"/>
    </w:pPr>
  </w:style>
  <w:style w:type="paragraph" w:styleId="Title">
    <w:name w:val="Title"/>
    <w:next w:val="Subtitle"/>
    <w:pPr>
      <w:shd w:val="clear" w:color="auto" w:fill="000000"/>
      <w:suppressAutoHyphens/>
      <w:spacing w:before="2835"/>
      <w:jc w:val="right"/>
    </w:pPr>
    <w:rPr>
      <w:rFonts w:ascii="Arial Narrow" w:eastAsia="Arial" w:hAnsi="Arial Narrow"/>
      <w:b/>
      <w:kern w:val="1"/>
      <w:sz w:val="72"/>
      <w:lang w:val="en-AU" w:eastAsia="ar-SA"/>
    </w:rPr>
  </w:style>
  <w:style w:type="paragraph" w:styleId="Subtitle">
    <w:name w:val="Subtitle"/>
    <w:aliases w:val="Chapter"/>
    <w:basedOn w:val="Title"/>
    <w:next w:val="BodyText"/>
    <w:link w:val="SubtitleChar"/>
    <w:uiPriority w:val="11"/>
    <w:qFormat/>
    <w:rsid w:val="005B49CD"/>
    <w:pPr>
      <w:shd w:val="clear" w:color="auto" w:fill="auto"/>
      <w:spacing w:before="480" w:after="60"/>
      <w:jc w:val="center"/>
    </w:pPr>
    <w:rPr>
      <w:rFonts w:ascii="Open Sans" w:hAnsi="Open Sans" w:cs="Open Sans"/>
      <w:b w:val="0"/>
      <w:sz w:val="28"/>
      <w:szCs w:val="28"/>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uiPriority w:val="99"/>
    <w:pPr>
      <w:pBdr>
        <w:bottom w:val="single" w:sz="1" w:space="2" w:color="000000"/>
      </w:pBdr>
      <w:tabs>
        <w:tab w:val="left" w:pos="4253"/>
        <w:tab w:val="right" w:pos="8505"/>
      </w:tabs>
      <w:overflowPunct w:val="0"/>
      <w:autoSpaceDE w:val="0"/>
      <w:textAlignment w:val="baseline"/>
    </w:pPr>
    <w:rPr>
      <w:rFonts w:ascii="Arial Unicode MS" w:hAnsi="Arial Unicode MS"/>
      <w:sz w:val="18"/>
      <w:lang w:val="en-AU"/>
    </w:rPr>
  </w:style>
  <w:style w:type="paragraph" w:styleId="Footer">
    <w:name w:val="footer"/>
    <w:basedOn w:val="Header"/>
    <w:link w:val="FooterChar"/>
    <w:uiPriority w:val="99"/>
    <w:pPr>
      <w:pBdr>
        <w:top w:val="single" w:sz="1" w:space="2" w:color="000000"/>
        <w:bottom w:val="none" w:sz="0" w:space="0" w:color="auto"/>
      </w:pBdr>
    </w:pPr>
    <w:rPr>
      <w:rFonts w:eastAsia="Arial Unicode MS" w:cs="Times New Roman"/>
      <w:b/>
      <w:szCs w:val="20"/>
    </w:rPr>
  </w:style>
  <w:style w:type="paragraph" w:styleId="Index1">
    <w:name w:val="index 1"/>
    <w:basedOn w:val="Normal"/>
    <w:next w:val="Normal"/>
    <w:pPr>
      <w:widowControl/>
      <w:tabs>
        <w:tab w:val="right" w:leader="dot" w:pos="3856"/>
      </w:tabs>
      <w:overflowPunct w:val="0"/>
      <w:autoSpaceDE w:val="0"/>
      <w:spacing w:after="100"/>
      <w:textAlignment w:val="baseline"/>
    </w:pPr>
    <w:rPr>
      <w:lang w:val="en-AU"/>
    </w:rPr>
  </w:style>
  <w:style w:type="paragraph" w:styleId="Index2">
    <w:name w:val="index 2"/>
    <w:basedOn w:val="Index1"/>
    <w:next w:val="Normal"/>
    <w:pPr>
      <w:tabs>
        <w:tab w:val="clear" w:pos="3856"/>
        <w:tab w:val="right" w:leader="dot" w:pos="3881"/>
      </w:tabs>
      <w:spacing w:after="40"/>
      <w:ind w:left="396" w:hanging="198"/>
    </w:pPr>
  </w:style>
  <w:style w:type="paragraph" w:styleId="ListBullet">
    <w:name w:val="List Bullet"/>
    <w:basedOn w:val="BodyText"/>
    <w:pPr>
      <w:keepNext/>
      <w:numPr>
        <w:numId w:val="4"/>
      </w:numPr>
      <w:spacing w:after="100"/>
    </w:pPr>
  </w:style>
  <w:style w:type="paragraph" w:styleId="ListBullet2">
    <w:name w:val="List Bullet 2"/>
    <w:basedOn w:val="ListBullet"/>
    <w:pPr>
      <w:tabs>
        <w:tab w:val="left" w:pos="1827"/>
      </w:tabs>
    </w:pPr>
  </w:style>
  <w:style w:type="paragraph" w:styleId="ListBullet3">
    <w:name w:val="List Bullet 3"/>
    <w:basedOn w:val="Normal"/>
    <w:pPr>
      <w:widowControl/>
      <w:tabs>
        <w:tab w:val="num" w:pos="1498"/>
      </w:tabs>
      <w:spacing w:after="100"/>
      <w:ind w:left="1498" w:hanging="36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spacing w:after="60"/>
    </w:pPr>
  </w:style>
  <w:style w:type="paragraph" w:styleId="ListNumber3">
    <w:name w:val="List Number 3"/>
    <w:basedOn w:val="ListNumber2"/>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customStyle="1" w:styleId="TableBodyText">
    <w:name w:val="Table Body Text"/>
    <w:basedOn w:val="BodyText"/>
    <w:pPr>
      <w:spacing w:before="60" w:after="60"/>
    </w:pPr>
    <w:rPr>
      <w:sz w:val="20"/>
    </w:rPr>
  </w:style>
  <w:style w:type="paragraph" w:customStyle="1" w:styleId="TableBullet">
    <w:name w:val="Table Bullet"/>
    <w:basedOn w:val="Normal"/>
    <w:pPr>
      <w:numPr>
        <w:numId w:val="2"/>
      </w:numPr>
      <w:tabs>
        <w:tab w:val="left" w:pos="2208"/>
      </w:tabs>
      <w:spacing w:before="60" w:after="200"/>
      <w:ind w:left="2208" w:hanging="360"/>
    </w:pPr>
    <w:rPr>
      <w:rFonts w:ascii="ClassGarmnd BT" w:hAnsi="ClassGarmnd BT"/>
      <w:color w:val="000000"/>
      <w:lang w:val="en-AU"/>
    </w:rPr>
  </w:style>
  <w:style w:type="paragraph" w:customStyle="1" w:styleId="TableContents">
    <w:name w:val="Table Contents"/>
    <w:basedOn w:val="Normal"/>
    <w:pPr>
      <w:suppressLineNumbers/>
    </w:pPr>
  </w:style>
  <w:style w:type="paragraph" w:customStyle="1" w:styleId="TableHeading">
    <w:name w:val="Table Heading"/>
    <w:basedOn w:val="Heading4"/>
    <w:pPr>
      <w:numPr>
        <w:ilvl w:val="0"/>
        <w:numId w:val="0"/>
      </w:numPr>
      <w:spacing w:before="80" w:after="80"/>
      <w:ind w:left="79"/>
    </w:pPr>
    <w:rPr>
      <w:sz w:val="20"/>
    </w:rPr>
  </w:style>
  <w:style w:type="paragraph" w:styleId="TOC1">
    <w:name w:val="toc 1"/>
    <w:next w:val="Normal"/>
    <w:link w:val="TOC1Char"/>
    <w:uiPriority w:val="39"/>
    <w:qFormat/>
    <w:pPr>
      <w:widowControl w:val="0"/>
      <w:spacing w:before="120" w:after="120" w:line="312" w:lineRule="auto"/>
    </w:pPr>
    <w:rPr>
      <w:rFonts w:ascii="Calibri" w:hAnsi="Calibri" w:cs="Arial"/>
      <w:b/>
      <w:bCs/>
      <w:caps/>
      <w:lang w:eastAsia="ar-SA"/>
    </w:rPr>
  </w:style>
  <w:style w:type="paragraph" w:styleId="TOC2">
    <w:name w:val="toc 2"/>
    <w:basedOn w:val="TOC1"/>
    <w:next w:val="Normal"/>
    <w:uiPriority w:val="39"/>
    <w:pPr>
      <w:spacing w:before="0" w:after="0"/>
      <w:ind w:left="260"/>
    </w:pPr>
    <w:rPr>
      <w:b w:val="0"/>
      <w:bCs w:val="0"/>
      <w:caps w:val="0"/>
      <w:smallCaps/>
    </w:rPr>
  </w:style>
  <w:style w:type="paragraph" w:styleId="TOC3">
    <w:name w:val="toc 3"/>
    <w:basedOn w:val="TOC2"/>
    <w:next w:val="Normal"/>
    <w:uiPriority w:val="39"/>
    <w:pPr>
      <w:ind w:left="520"/>
    </w:pPr>
    <w:rPr>
      <w:i/>
      <w:iCs/>
      <w:smallCaps w:val="0"/>
    </w:rPr>
  </w:style>
  <w:style w:type="paragraph" w:styleId="TOC4">
    <w:name w:val="toc 4"/>
    <w:basedOn w:val="Normal"/>
    <w:next w:val="Normal"/>
    <w:pPr>
      <w:ind w:left="780"/>
    </w:pPr>
    <w:rPr>
      <w:rFonts w:ascii="Calibri" w:hAnsi="Calibri"/>
      <w:sz w:val="18"/>
      <w:szCs w:val="18"/>
    </w:rPr>
  </w:style>
  <w:style w:type="paragraph" w:styleId="NormalWeb">
    <w:name w:val="Normal (Web)"/>
    <w:basedOn w:val="Normal"/>
    <w:pPr>
      <w:widowControl/>
      <w:spacing w:before="100" w:after="100"/>
    </w:pPr>
    <w:rPr>
      <w:rFonts w:ascii="Arial" w:eastAsia="Arial Unicode MS" w:hAnsi="Arial"/>
      <w:sz w:val="20"/>
      <w:lang w:val="en-AU"/>
    </w:rPr>
  </w:style>
  <w:style w:type="paragraph" w:styleId="BodyTextFirstIndent">
    <w:name w:val="Body Text First Indent"/>
    <w:basedOn w:val="BodyText"/>
    <w:pPr>
      <w:ind w:firstLine="210"/>
    </w:pPr>
    <w:rPr>
      <w:rFonts w:ascii="Book Antiqua" w:hAnsi="Book Antiqua"/>
    </w:rPr>
  </w:style>
  <w:style w:type="paragraph" w:customStyle="1" w:styleId="BlockQuotation">
    <w:name w:val="Block Quotation"/>
    <w:basedOn w:val="BodyText"/>
    <w:pPr>
      <w:widowControl/>
      <w:pBdr>
        <w:top w:val="single" w:sz="4" w:space="14" w:color="808080"/>
        <w:left w:val="single" w:sz="4" w:space="14" w:color="808080"/>
        <w:bottom w:val="single" w:sz="4" w:space="14" w:color="808080"/>
        <w:right w:val="single" w:sz="4" w:space="14" w:color="808080"/>
      </w:pBdr>
      <w:spacing w:after="240"/>
      <w:ind w:left="720"/>
    </w:pPr>
    <w:rPr>
      <w:rFonts w:ascii="Arial" w:hAnsi="Arial"/>
      <w:i/>
    </w:rPr>
  </w:style>
  <w:style w:type="paragraph" w:customStyle="1" w:styleId="HeadingBase">
    <w:name w:val="Heading Base"/>
    <w:basedOn w:val="BodyText"/>
    <w:next w:val="BodyText"/>
    <w:pPr>
      <w:keepNext/>
      <w:widowControl/>
      <w:spacing w:after="0"/>
    </w:pPr>
    <w:rPr>
      <w:rFonts w:ascii="Arial" w:hAnsi="Arial"/>
      <w:kern w:val="1"/>
      <w:szCs w:val="24"/>
      <w:lang w:val="x-none"/>
    </w:rPr>
  </w:style>
  <w:style w:type="paragraph" w:customStyle="1" w:styleId="FootnoteBase">
    <w:name w:val="Footnote Base"/>
    <w:basedOn w:val="BodyText"/>
    <w:pPr>
      <w:widowControl/>
      <w:spacing w:after="240" w:line="200" w:lineRule="atLeast"/>
    </w:pPr>
    <w:rPr>
      <w:rFonts w:ascii="Arial" w:hAnsi="Arial"/>
      <w:sz w:val="18"/>
      <w:szCs w:val="24"/>
    </w:rPr>
  </w:style>
  <w:style w:type="paragraph" w:styleId="FootnoteText">
    <w:name w:val="footnote text"/>
    <w:basedOn w:val="FootnoteBase"/>
    <w:rPr>
      <w:lang w:val="x-none"/>
    </w:rPr>
  </w:style>
  <w:style w:type="paragraph" w:customStyle="1" w:styleId="TitleCover">
    <w:name w:val="Title Cover"/>
    <w:basedOn w:val="HeadingBase"/>
    <w:next w:val="SubtitleCover"/>
    <w:pPr>
      <w:spacing w:after="240" w:line="720" w:lineRule="atLeast"/>
      <w:jc w:val="center"/>
    </w:pPr>
    <w:rPr>
      <w:caps/>
      <w:spacing w:val="65"/>
      <w:sz w:val="64"/>
    </w:rPr>
  </w:style>
  <w:style w:type="paragraph" w:customStyle="1" w:styleId="SubtitleCover">
    <w:name w:val="Subtitle Cover"/>
    <w:basedOn w:val="TitleCover"/>
    <w:next w:val="BodyText"/>
    <w:pPr>
      <w:pBdr>
        <w:top w:val="single" w:sz="4" w:space="12" w:color="808080"/>
      </w:pBdr>
      <w:spacing w:after="0" w:line="440" w:lineRule="atLeast"/>
    </w:pPr>
    <w:rPr>
      <w:spacing w:val="30"/>
      <w:sz w:val="36"/>
    </w:rPr>
  </w:style>
  <w:style w:type="paragraph" w:customStyle="1" w:styleId="CaptionCenteredBefore12ptNounderl">
    <w:name w:val="Caption + Centered Before:  12 pt + No underl..."/>
    <w:basedOn w:val="Normal"/>
    <w:pPr>
      <w:keepNext/>
      <w:widowControl/>
      <w:spacing w:before="240"/>
      <w:jc w:val="center"/>
    </w:pPr>
    <w:rPr>
      <w:rFonts w:ascii="Arial" w:hAnsi="Arial"/>
      <w:b/>
      <w:bCs/>
      <w:spacing w:val="5"/>
      <w:sz w:val="16"/>
      <w:szCs w:val="16"/>
      <w:u w:val="single"/>
    </w:rPr>
  </w:style>
  <w:style w:type="paragraph" w:styleId="NoSpacing">
    <w:name w:val="No Spacing"/>
    <w:uiPriority w:val="1"/>
    <w:pPr>
      <w:suppressAutoHyphens/>
    </w:pPr>
    <w:rPr>
      <w:rFonts w:ascii="Calibri" w:eastAsia="Arial" w:hAnsi="Calibri"/>
      <w:sz w:val="22"/>
      <w:szCs w:val="22"/>
      <w:lang w:eastAsia="ar-SA"/>
    </w:rPr>
  </w:style>
  <w:style w:type="paragraph" w:styleId="BalloonText">
    <w:name w:val="Balloon Text"/>
    <w:basedOn w:val="Normal"/>
    <w:uiPriority w:val="99"/>
    <w:rPr>
      <w:rFonts w:ascii="Tahoma" w:hAnsi="Tahoma"/>
      <w:sz w:val="16"/>
      <w:szCs w:val="16"/>
      <w:lang w:val="x-none"/>
    </w:rPr>
  </w:style>
  <w:style w:type="paragraph" w:customStyle="1" w:styleId="CSP-ChapterTitle">
    <w:name w:val="CSP - Chapter Title"/>
    <w:basedOn w:val="Normal"/>
    <w:link w:val="CSP-ChapterTitleChar"/>
    <w:pPr>
      <w:spacing w:line="100" w:lineRule="atLeast"/>
      <w:jc w:val="center"/>
    </w:pPr>
    <w:rPr>
      <w:rFonts w:ascii="Times New Roman" w:hAnsi="Times New Roman"/>
      <w:iCs/>
      <w:caps/>
      <w:sz w:val="28"/>
      <w:szCs w:val="28"/>
    </w:rPr>
  </w:style>
  <w:style w:type="paragraph" w:customStyle="1" w:styleId="CSP-ChapterBodyText">
    <w:name w:val="CSP - Chapter Body Text"/>
    <w:basedOn w:val="Normal"/>
    <w:pPr>
      <w:spacing w:line="100" w:lineRule="atLeast"/>
      <w:ind w:firstLine="288"/>
      <w:jc w:val="both"/>
    </w:pPr>
    <w:rPr>
      <w:rFonts w:ascii="Garamond" w:hAnsi="Garamond"/>
      <w:iCs/>
    </w:rPr>
  </w:style>
  <w:style w:type="paragraph" w:customStyle="1" w:styleId="CSP-ChapterBodyText-FirstParagraph">
    <w:name w:val="CSP - Chapter Body Text - First Paragraph"/>
    <w:basedOn w:val="CSP-ChapterBodyText"/>
    <w:pPr>
      <w:ind w:firstLine="0"/>
    </w:pPr>
  </w:style>
  <w:style w:type="paragraph" w:customStyle="1" w:styleId="DefaultLTNotizen">
    <w:name w:val="Default~LT~Notize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before="90"/>
    </w:pPr>
    <w:rPr>
      <w:rFonts w:ascii="Mangal" w:eastAsia="Mangal" w:hAnsi="Mangal" w:cs="Mangal"/>
      <w:color w:val="000000"/>
      <w:sz w:val="24"/>
      <w:szCs w:val="24"/>
      <w:lang w:eastAsia="hi-IN" w:bidi="hi-IN"/>
    </w:rPr>
  </w:style>
  <w:style w:type="paragraph" w:styleId="Quote">
    <w:name w:val="Quote"/>
    <w:basedOn w:val="Normal"/>
    <w:next w:val="Normal"/>
    <w:link w:val="QuoteChar"/>
    <w:uiPriority w:val="29"/>
    <w:qFormat/>
    <w:rsid w:val="00F1752E"/>
    <w:pPr>
      <w:spacing w:line="360" w:lineRule="auto"/>
    </w:pPr>
    <w:rPr>
      <w:rFonts w:ascii="Open Sans" w:hAnsi="Open Sans" w:cs="Open Sans"/>
      <w:i/>
      <w:iCs/>
      <w:color w:val="000000"/>
      <w:sz w:val="28"/>
      <w:szCs w:val="20"/>
      <w:lang w:val="x-none"/>
    </w:rPr>
  </w:style>
  <w:style w:type="character" w:customStyle="1" w:styleId="QuoteChar">
    <w:name w:val="Quote Char"/>
    <w:link w:val="Quote"/>
    <w:uiPriority w:val="29"/>
    <w:rsid w:val="00F1752E"/>
    <w:rPr>
      <w:rFonts w:ascii="Open Sans" w:eastAsia="Calibri" w:hAnsi="Open Sans" w:cs="Open Sans"/>
      <w:i/>
      <w:iCs/>
      <w:color w:val="000000"/>
      <w:sz w:val="28"/>
      <w:lang w:val="x-none" w:eastAsia="hi-IN" w:bidi="hi-IN"/>
    </w:rPr>
  </w:style>
  <w:style w:type="paragraph" w:styleId="ListParagraph">
    <w:name w:val="List Paragraph"/>
    <w:basedOn w:val="Normal"/>
    <w:uiPriority w:val="34"/>
    <w:rsid w:val="002B3564"/>
    <w:pPr>
      <w:widowControl/>
      <w:spacing w:after="200" w:line="276" w:lineRule="auto"/>
      <w:ind w:left="720"/>
      <w:contextualSpacing/>
    </w:pPr>
    <w:rPr>
      <w:rFonts w:ascii="Calibri" w:hAnsi="Calibri" w:cs="Times New Roman"/>
      <w:lang w:eastAsia="en-US"/>
    </w:rPr>
  </w:style>
  <w:style w:type="character" w:customStyle="1" w:styleId="FooterChar">
    <w:name w:val="Footer Char"/>
    <w:link w:val="Footer"/>
    <w:uiPriority w:val="99"/>
    <w:rsid w:val="002B3564"/>
    <w:rPr>
      <w:rFonts w:ascii="Arial Unicode MS" w:eastAsia="Arial Unicode MS" w:hAnsi="Arial Unicode MS"/>
      <w:b/>
      <w:sz w:val="18"/>
      <w:lang w:val="en-AU" w:eastAsia="ar-SA"/>
    </w:rPr>
  </w:style>
  <w:style w:type="character" w:customStyle="1" w:styleId="huge1">
    <w:name w:val="huge1"/>
    <w:rsid w:val="002B3564"/>
    <w:rPr>
      <w:rFonts w:ascii="Verdana" w:hAnsi="Verdana" w:hint="default"/>
      <w:sz w:val="30"/>
      <w:szCs w:val="30"/>
    </w:rPr>
  </w:style>
  <w:style w:type="character" w:customStyle="1" w:styleId="bodybold1">
    <w:name w:val="bodybold1"/>
    <w:rsid w:val="002B3564"/>
    <w:rPr>
      <w:rFonts w:ascii="Verdana" w:hAnsi="Verdana" w:hint="default"/>
      <w:b/>
      <w:bCs/>
      <w:sz w:val="20"/>
      <w:szCs w:val="20"/>
    </w:rPr>
  </w:style>
  <w:style w:type="character" w:customStyle="1" w:styleId="messagebody2">
    <w:name w:val="messagebody2"/>
    <w:basedOn w:val="DefaultParagraphFont"/>
    <w:rsid w:val="002B3564"/>
  </w:style>
  <w:style w:type="paragraph" w:customStyle="1" w:styleId="titlepage">
    <w:name w:val="titlepage"/>
    <w:basedOn w:val="Normal"/>
    <w:link w:val="titlepageChar"/>
    <w:qFormat/>
    <w:rsid w:val="00993E93"/>
    <w:pPr>
      <w:spacing w:line="360" w:lineRule="auto"/>
    </w:pPr>
    <w:rPr>
      <w:rFonts w:ascii="Libre Baskerville" w:hAnsi="Libre Baskerville" w:cs="CenturyGothic"/>
      <w:spacing w:val="-1"/>
      <w:sz w:val="18"/>
      <w:szCs w:val="18"/>
      <w:lang w:val="fr-FR" w:eastAsia="en-US"/>
    </w:rPr>
  </w:style>
  <w:style w:type="character" w:customStyle="1" w:styleId="titlepageChar">
    <w:name w:val="titlepage Char"/>
    <w:link w:val="titlepage"/>
    <w:rsid w:val="00993E93"/>
    <w:rPr>
      <w:rFonts w:ascii="Libre Baskerville" w:eastAsia="Calibri" w:hAnsi="Libre Baskerville" w:cs="CenturyGothic"/>
      <w:spacing w:val="-1"/>
      <w:sz w:val="18"/>
      <w:szCs w:val="18"/>
      <w:lang w:val="fr-FR" w:bidi="hi-IN"/>
    </w:rPr>
  </w:style>
  <w:style w:type="paragraph" w:customStyle="1" w:styleId="firstparagraph">
    <w:name w:val="firstparagraph"/>
    <w:basedOn w:val="Normal"/>
    <w:link w:val="firstparagraphChar"/>
    <w:rsid w:val="00E72DB8"/>
    <w:pPr>
      <w:spacing w:line="336" w:lineRule="auto"/>
      <w:jc w:val="both"/>
    </w:pPr>
    <w:rPr>
      <w:rFonts w:ascii="Libre Baskerville" w:hAnsi="Libre Baskerville"/>
    </w:rPr>
  </w:style>
  <w:style w:type="paragraph" w:customStyle="1" w:styleId="mainbody">
    <w:name w:val="main body"/>
    <w:basedOn w:val="Normal"/>
    <w:link w:val="mainbodyChar"/>
    <w:qFormat/>
    <w:rsid w:val="00E72DB8"/>
    <w:pPr>
      <w:spacing w:line="336" w:lineRule="auto"/>
      <w:ind w:firstLine="432"/>
      <w:jc w:val="both"/>
    </w:pPr>
    <w:rPr>
      <w:rFonts w:ascii="Libre Baskerville" w:hAnsi="Libre Baskerville"/>
    </w:rPr>
  </w:style>
  <w:style w:type="character" w:customStyle="1" w:styleId="firstparagraphChar">
    <w:name w:val="firstparagraph Char"/>
    <w:link w:val="firstparagraph"/>
    <w:rsid w:val="00E72DB8"/>
    <w:rPr>
      <w:rFonts w:ascii="Libre Baskerville" w:eastAsia="Calibri" w:hAnsi="Libre Baskerville" w:cs="Calibri"/>
      <w:sz w:val="22"/>
      <w:szCs w:val="22"/>
      <w:lang w:eastAsia="hi-IN" w:bidi="hi-IN"/>
    </w:rPr>
  </w:style>
  <w:style w:type="character" w:customStyle="1" w:styleId="Heading5Char">
    <w:name w:val="Heading 5 Char"/>
    <w:link w:val="Heading5"/>
    <w:uiPriority w:val="9"/>
    <w:semiHidden/>
    <w:rsid w:val="00156443"/>
    <w:rPr>
      <w:rFonts w:ascii="Garamond" w:hAnsi="Garamond"/>
      <w:b/>
      <w:bCs/>
      <w:i/>
      <w:iCs/>
      <w:spacing w:val="-1"/>
      <w:sz w:val="26"/>
      <w:szCs w:val="26"/>
      <w:lang w:val="fr-FR"/>
    </w:rPr>
  </w:style>
  <w:style w:type="character" w:customStyle="1" w:styleId="mainbodyChar">
    <w:name w:val="main body Char"/>
    <w:link w:val="mainbody"/>
    <w:rsid w:val="00E72DB8"/>
    <w:rPr>
      <w:rFonts w:ascii="Libre Baskerville" w:eastAsia="Calibri" w:hAnsi="Libre Baskerville" w:cs="Calibri"/>
      <w:sz w:val="22"/>
      <w:szCs w:val="22"/>
      <w:lang w:eastAsia="hi-IN" w:bidi="hi-IN"/>
    </w:rPr>
  </w:style>
  <w:style w:type="character" w:customStyle="1" w:styleId="Heading6Char">
    <w:name w:val="Heading 6 Char"/>
    <w:link w:val="Heading6"/>
    <w:rsid w:val="00156443"/>
    <w:rPr>
      <w:b/>
      <w:bCs/>
      <w:spacing w:val="-1"/>
      <w:sz w:val="22"/>
      <w:szCs w:val="22"/>
      <w:lang w:val="fr-FR"/>
    </w:rPr>
  </w:style>
  <w:style w:type="character" w:customStyle="1" w:styleId="Heading8Char">
    <w:name w:val="Heading 8 Char"/>
    <w:link w:val="Heading8"/>
    <w:uiPriority w:val="9"/>
    <w:semiHidden/>
    <w:rsid w:val="00156443"/>
    <w:rPr>
      <w:rFonts w:ascii="Garamond" w:hAnsi="Garamond"/>
      <w:i/>
      <w:iCs/>
      <w:spacing w:val="-1"/>
      <w:sz w:val="24"/>
      <w:szCs w:val="24"/>
      <w:lang w:val="fr-FR"/>
    </w:rPr>
  </w:style>
  <w:style w:type="character" w:customStyle="1" w:styleId="Heading9Char">
    <w:name w:val="Heading 9 Char"/>
    <w:link w:val="Heading9"/>
    <w:uiPriority w:val="9"/>
    <w:semiHidden/>
    <w:rsid w:val="00156443"/>
    <w:rPr>
      <w:rFonts w:ascii="Cambria" w:hAnsi="Cambria"/>
      <w:spacing w:val="-1"/>
      <w:sz w:val="22"/>
      <w:szCs w:val="22"/>
      <w:lang w:val="fr-FR"/>
    </w:rPr>
  </w:style>
  <w:style w:type="table" w:styleId="TableGrid">
    <w:name w:val="Table Grid"/>
    <w:basedOn w:val="TableNormal"/>
    <w:rsid w:val="00156443"/>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1">
    <w:name w:val="A1"/>
    <w:uiPriority w:val="99"/>
    <w:rsid w:val="00156443"/>
    <w:rPr>
      <w:rFonts w:ascii="Times New Roman" w:hAnsi="Times New Roman" w:cs="Times"/>
      <w:color w:val="221E1F"/>
      <w:sz w:val="18"/>
      <w:szCs w:val="18"/>
    </w:rPr>
  </w:style>
  <w:style w:type="paragraph" w:styleId="CommentText">
    <w:name w:val="annotation text"/>
    <w:basedOn w:val="Normal"/>
    <w:link w:val="CommentTextChar"/>
    <w:uiPriority w:val="99"/>
    <w:semiHidden/>
    <w:unhideWhenUsed/>
    <w:rsid w:val="00156443"/>
    <w:pPr>
      <w:spacing w:after="200" w:line="276" w:lineRule="auto"/>
      <w:ind w:firstLine="432"/>
    </w:pPr>
    <w:rPr>
      <w:rFonts w:ascii="Garamond" w:hAnsi="Garamond" w:cs="Times New Roman"/>
      <w:spacing w:val="-1"/>
      <w:sz w:val="20"/>
      <w:szCs w:val="20"/>
      <w:lang w:val="fr-FR" w:eastAsia="en-US"/>
    </w:rPr>
  </w:style>
  <w:style w:type="character" w:customStyle="1" w:styleId="CommentTextChar">
    <w:name w:val="Comment Text Char"/>
    <w:link w:val="CommentText"/>
    <w:uiPriority w:val="99"/>
    <w:semiHidden/>
    <w:rsid w:val="00156443"/>
    <w:rPr>
      <w:rFonts w:ascii="Garamond" w:eastAsia="Calibri" w:hAnsi="Garamond"/>
      <w:spacing w:val="-1"/>
      <w:lang w:val="fr-FR"/>
    </w:rPr>
  </w:style>
  <w:style w:type="paragraph" w:styleId="CommentSubject">
    <w:name w:val="annotation subject"/>
    <w:basedOn w:val="CommentText"/>
    <w:next w:val="CommentText"/>
    <w:link w:val="CommentSubjectChar"/>
    <w:uiPriority w:val="99"/>
    <w:semiHidden/>
    <w:unhideWhenUsed/>
    <w:rsid w:val="00156443"/>
    <w:rPr>
      <w:b/>
      <w:bCs/>
    </w:rPr>
  </w:style>
  <w:style w:type="character" w:customStyle="1" w:styleId="CommentSubjectChar">
    <w:name w:val="Comment Subject Char"/>
    <w:link w:val="CommentSubject"/>
    <w:uiPriority w:val="99"/>
    <w:semiHidden/>
    <w:rsid w:val="00156443"/>
    <w:rPr>
      <w:rFonts w:ascii="Garamond" w:eastAsia="Calibri" w:hAnsi="Garamond"/>
      <w:b/>
      <w:bCs/>
      <w:spacing w:val="-1"/>
      <w:lang w:val="fr-FR"/>
    </w:rPr>
  </w:style>
  <w:style w:type="paragraph" w:customStyle="1" w:styleId="CSP-FrontMatterBodyText">
    <w:name w:val="CSP - Front Matter Body Text"/>
    <w:basedOn w:val="Normal"/>
    <w:rsid w:val="00156443"/>
    <w:pPr>
      <w:spacing w:line="240" w:lineRule="auto"/>
      <w:ind w:firstLine="432"/>
      <w:jc w:val="center"/>
    </w:pPr>
    <w:rPr>
      <w:rFonts w:ascii="Garamond" w:hAnsi="Garamond" w:cs="Times New Roman"/>
      <w:iCs/>
      <w:spacing w:val="-1"/>
      <w:lang w:val="fr-FR" w:eastAsia="en-US"/>
    </w:rPr>
  </w:style>
  <w:style w:type="paragraph" w:customStyle="1" w:styleId="chapterheading">
    <w:name w:val="chapterheading"/>
    <w:basedOn w:val="Normal"/>
    <w:link w:val="chapterheadingChar"/>
    <w:rsid w:val="00156443"/>
    <w:pPr>
      <w:widowControl/>
      <w:spacing w:before="29" w:line="980" w:lineRule="exact"/>
      <w:ind w:firstLine="432"/>
      <w:jc w:val="center"/>
    </w:pPr>
    <w:rPr>
      <w:rFonts w:ascii="Times New Roman" w:hAnsi="Times New Roman" w:cs="Times New Roman"/>
      <w:color w:val="363435"/>
      <w:spacing w:val="-1"/>
      <w:w w:val="82"/>
      <w:sz w:val="52"/>
      <w:szCs w:val="52"/>
      <w:lang w:val="fr-FR" w:eastAsia="en-US"/>
    </w:rPr>
  </w:style>
  <w:style w:type="character" w:customStyle="1" w:styleId="chapterheadingChar">
    <w:name w:val="chapterheading Char"/>
    <w:link w:val="chapterheading"/>
    <w:rsid w:val="00156443"/>
    <w:rPr>
      <w:color w:val="363435"/>
      <w:spacing w:val="-1"/>
      <w:w w:val="82"/>
      <w:sz w:val="52"/>
      <w:szCs w:val="52"/>
      <w:lang w:val="fr-FR"/>
    </w:rPr>
  </w:style>
  <w:style w:type="character" w:customStyle="1" w:styleId="Heading1Char">
    <w:name w:val="Heading 1 Char"/>
    <w:link w:val="Heading1"/>
    <w:uiPriority w:val="9"/>
    <w:rsid w:val="006F6ADF"/>
    <w:rPr>
      <w:rFonts w:ascii="Aleo" w:eastAsia="Arial Unicode MS" w:hAnsi="Aleo"/>
      <w:spacing w:val="126"/>
      <w:kern w:val="52"/>
      <w:sz w:val="36"/>
      <w:szCs w:val="36"/>
      <w:lang w:val="en-AU" w:eastAsia="zh-CN"/>
    </w:rPr>
  </w:style>
  <w:style w:type="character" w:customStyle="1" w:styleId="Heading2Char">
    <w:name w:val="Heading 2 Char"/>
    <w:link w:val="Heading2"/>
    <w:uiPriority w:val="9"/>
    <w:rsid w:val="00156443"/>
    <w:rPr>
      <w:rFonts w:ascii="Bliss 2 Light" w:eastAsia="Arial Unicode MS" w:hAnsi="Bliss 2 Light"/>
      <w:kern w:val="1"/>
      <w:sz w:val="32"/>
      <w:szCs w:val="48"/>
      <w:lang w:val="en-AU" w:eastAsia="ar-SA"/>
    </w:rPr>
  </w:style>
  <w:style w:type="character" w:customStyle="1" w:styleId="Heading3Char">
    <w:name w:val="Heading 3 Char"/>
    <w:link w:val="Heading3"/>
    <w:uiPriority w:val="9"/>
    <w:rsid w:val="00156443"/>
    <w:rPr>
      <w:rFonts w:ascii="Bliss 2 Light" w:eastAsia="Arial Unicode MS" w:hAnsi="Bliss 2 Light"/>
      <w:kern w:val="1"/>
      <w:sz w:val="28"/>
      <w:szCs w:val="48"/>
      <w:lang w:val="en-AU" w:eastAsia="ar-SA"/>
    </w:rPr>
  </w:style>
  <w:style w:type="character" w:customStyle="1" w:styleId="Heading4Char">
    <w:name w:val="Heading 4 Char"/>
    <w:link w:val="Heading4"/>
    <w:uiPriority w:val="9"/>
    <w:rsid w:val="00156443"/>
    <w:rPr>
      <w:rFonts w:ascii="Bliss 2 Light" w:eastAsia="Arial Unicode MS" w:hAnsi="Bliss 2 Light"/>
      <w:kern w:val="1"/>
      <w:sz w:val="24"/>
      <w:szCs w:val="48"/>
      <w:lang w:val="en-AU" w:eastAsia="ar-SA"/>
    </w:rPr>
  </w:style>
  <w:style w:type="paragraph" w:customStyle="1" w:styleId="titlepage1">
    <w:name w:val="titlepage1"/>
    <w:basedOn w:val="Normal"/>
    <w:link w:val="titlepage1Char"/>
    <w:rsid w:val="00156443"/>
    <w:pPr>
      <w:widowControl/>
      <w:spacing w:before="29" w:line="980" w:lineRule="exact"/>
      <w:ind w:left="321" w:right="177" w:firstLine="432"/>
      <w:jc w:val="center"/>
    </w:pPr>
    <w:rPr>
      <w:rFonts w:ascii="Times New Roman" w:hAnsi="Times New Roman" w:cs="Times New Roman"/>
      <w:color w:val="363435"/>
      <w:spacing w:val="-1"/>
      <w:w w:val="86"/>
      <w:sz w:val="92"/>
      <w:szCs w:val="92"/>
      <w:lang w:val="fr-FR" w:eastAsia="en-US"/>
    </w:rPr>
  </w:style>
  <w:style w:type="character" w:customStyle="1" w:styleId="titlepage1Char">
    <w:name w:val="titlepage1 Char"/>
    <w:link w:val="titlepage1"/>
    <w:rsid w:val="00156443"/>
    <w:rPr>
      <w:color w:val="363435"/>
      <w:spacing w:val="-1"/>
      <w:w w:val="86"/>
      <w:sz w:val="92"/>
      <w:szCs w:val="92"/>
      <w:lang w:val="fr-FR"/>
    </w:rPr>
  </w:style>
  <w:style w:type="paragraph" w:customStyle="1" w:styleId="bodystyle">
    <w:name w:val="bodystyle"/>
    <w:basedOn w:val="Normal"/>
    <w:link w:val="bodystyleChar"/>
    <w:rsid w:val="00156443"/>
    <w:pPr>
      <w:widowControl/>
      <w:spacing w:line="302" w:lineRule="auto"/>
      <w:ind w:firstLine="432"/>
    </w:pPr>
    <w:rPr>
      <w:rFonts w:ascii="Times New Roman" w:hAnsi="Times New Roman" w:cs="Times New Roman"/>
      <w:spacing w:val="-1"/>
      <w:lang w:val="fr-FR" w:eastAsia="en-US"/>
    </w:rPr>
  </w:style>
  <w:style w:type="character" w:customStyle="1" w:styleId="bodystyleChar">
    <w:name w:val="bodystyle Char"/>
    <w:link w:val="bodystyle"/>
    <w:rsid w:val="00156443"/>
    <w:rPr>
      <w:spacing w:val="-1"/>
      <w:sz w:val="22"/>
      <w:szCs w:val="22"/>
      <w:lang w:val="fr-FR"/>
    </w:rPr>
  </w:style>
  <w:style w:type="character" w:customStyle="1" w:styleId="SubtitleChar">
    <w:name w:val="Subtitle Char"/>
    <w:aliases w:val="Chapter Char"/>
    <w:link w:val="Subtitle"/>
    <w:uiPriority w:val="11"/>
    <w:rsid w:val="005B49CD"/>
    <w:rPr>
      <w:rFonts w:ascii="Open Sans" w:eastAsia="Arial" w:hAnsi="Open Sans" w:cs="Open Sans"/>
      <w:kern w:val="1"/>
      <w:sz w:val="28"/>
      <w:szCs w:val="28"/>
      <w:lang w:val="en-AU" w:eastAsia="ar-SA"/>
    </w:rPr>
  </w:style>
  <w:style w:type="paragraph" w:customStyle="1" w:styleId="firstparagraph2">
    <w:name w:val="firstparagraph2"/>
    <w:basedOn w:val="Normal"/>
    <w:link w:val="firstparagraph2Char"/>
    <w:rsid w:val="00156443"/>
    <w:pPr>
      <w:spacing w:after="200"/>
    </w:pPr>
    <w:rPr>
      <w:rFonts w:ascii="Garamond" w:hAnsi="Garamond" w:cs="Times New Roman"/>
      <w:spacing w:val="-1"/>
      <w:lang w:val="fr-FR" w:eastAsia="en-US"/>
    </w:rPr>
  </w:style>
  <w:style w:type="paragraph" w:styleId="TOCHeading">
    <w:name w:val="TOC Heading"/>
    <w:basedOn w:val="Heading1"/>
    <w:next w:val="Normal"/>
    <w:uiPriority w:val="39"/>
    <w:unhideWhenUsed/>
    <w:rsid w:val="00156443"/>
    <w:pPr>
      <w:keepNext/>
      <w:keepLines/>
      <w:widowControl/>
      <w:numPr>
        <w:numId w:val="0"/>
      </w:numPr>
      <w:spacing w:before="480" w:line="276" w:lineRule="auto"/>
      <w:jc w:val="left"/>
      <w:outlineLvl w:val="9"/>
    </w:pPr>
    <w:rPr>
      <w:rFonts w:ascii="Cambria" w:eastAsia="Times New Roman" w:hAnsi="Cambria"/>
      <w:b/>
      <w:bCs/>
      <w:color w:val="365F91"/>
      <w:kern w:val="0"/>
      <w:sz w:val="28"/>
      <w:szCs w:val="28"/>
      <w:lang w:val="en-US" w:eastAsia="ja-JP"/>
    </w:rPr>
  </w:style>
  <w:style w:type="character" w:customStyle="1" w:styleId="firstparagraph2Char">
    <w:name w:val="firstparagraph2 Char"/>
    <w:link w:val="firstparagraph2"/>
    <w:rsid w:val="00156443"/>
    <w:rPr>
      <w:rFonts w:ascii="Garamond" w:eastAsia="Calibri" w:hAnsi="Garamond"/>
      <w:spacing w:val="-1"/>
      <w:sz w:val="22"/>
      <w:szCs w:val="22"/>
      <w:lang w:val="fr-FR"/>
    </w:rPr>
  </w:style>
  <w:style w:type="paragraph" w:customStyle="1" w:styleId="divider">
    <w:name w:val="divider"/>
    <w:basedOn w:val="Heading1"/>
    <w:link w:val="dividerChar"/>
    <w:rsid w:val="00156443"/>
    <w:pPr>
      <w:keepNext/>
      <w:widowControl/>
      <w:numPr>
        <w:numId w:val="0"/>
      </w:numPr>
      <w:spacing w:before="480" w:after="240" w:line="302" w:lineRule="auto"/>
      <w:ind w:right="72"/>
    </w:pPr>
    <w:rPr>
      <w:rFonts w:ascii="Caecilia LT Std Light" w:eastAsia="Times New Roman" w:hAnsi="Caecilia LT Std Light"/>
      <w:bCs/>
      <w:spacing w:val="20"/>
      <w:w w:val="83"/>
      <w:kern w:val="32"/>
      <w:sz w:val="72"/>
      <w:szCs w:val="72"/>
      <w:lang w:val="fr-FR" w:eastAsia="en-US"/>
    </w:rPr>
  </w:style>
  <w:style w:type="character" w:customStyle="1" w:styleId="dividerChar">
    <w:name w:val="divider Char"/>
    <w:link w:val="divider"/>
    <w:rsid w:val="00156443"/>
    <w:rPr>
      <w:rFonts w:ascii="Caecilia LT Std Light" w:hAnsi="Caecilia LT Std Light"/>
      <w:bCs/>
      <w:spacing w:val="20"/>
      <w:w w:val="83"/>
      <w:kern w:val="32"/>
      <w:sz w:val="72"/>
      <w:szCs w:val="72"/>
      <w:lang w:val="fr-FR"/>
    </w:rPr>
  </w:style>
  <w:style w:type="paragraph" w:styleId="TOC5">
    <w:name w:val="toc 5"/>
    <w:basedOn w:val="Normal"/>
    <w:next w:val="Normal"/>
    <w:autoRedefine/>
    <w:uiPriority w:val="39"/>
    <w:unhideWhenUsed/>
    <w:rsid w:val="00EC6244"/>
    <w:pPr>
      <w:ind w:left="1040"/>
    </w:pPr>
    <w:rPr>
      <w:rFonts w:ascii="Calibri" w:hAnsi="Calibri"/>
      <w:sz w:val="18"/>
      <w:szCs w:val="18"/>
    </w:rPr>
  </w:style>
  <w:style w:type="paragraph" w:styleId="TOC6">
    <w:name w:val="toc 6"/>
    <w:basedOn w:val="Normal"/>
    <w:next w:val="Normal"/>
    <w:autoRedefine/>
    <w:uiPriority w:val="39"/>
    <w:unhideWhenUsed/>
    <w:rsid w:val="00EC6244"/>
    <w:pPr>
      <w:ind w:left="1300"/>
    </w:pPr>
    <w:rPr>
      <w:rFonts w:ascii="Calibri" w:hAnsi="Calibri"/>
      <w:sz w:val="18"/>
      <w:szCs w:val="18"/>
    </w:rPr>
  </w:style>
  <w:style w:type="paragraph" w:styleId="TOC7">
    <w:name w:val="toc 7"/>
    <w:basedOn w:val="Normal"/>
    <w:next w:val="Normal"/>
    <w:autoRedefine/>
    <w:uiPriority w:val="39"/>
    <w:unhideWhenUsed/>
    <w:rsid w:val="00EC6244"/>
    <w:pPr>
      <w:ind w:left="1560"/>
    </w:pPr>
    <w:rPr>
      <w:rFonts w:ascii="Calibri" w:hAnsi="Calibri"/>
      <w:sz w:val="18"/>
      <w:szCs w:val="18"/>
    </w:rPr>
  </w:style>
  <w:style w:type="paragraph" w:styleId="TOC8">
    <w:name w:val="toc 8"/>
    <w:basedOn w:val="Normal"/>
    <w:next w:val="Normal"/>
    <w:autoRedefine/>
    <w:uiPriority w:val="39"/>
    <w:unhideWhenUsed/>
    <w:rsid w:val="00EC6244"/>
    <w:pPr>
      <w:ind w:left="1820"/>
    </w:pPr>
    <w:rPr>
      <w:rFonts w:ascii="Calibri" w:hAnsi="Calibri"/>
      <w:sz w:val="18"/>
      <w:szCs w:val="18"/>
    </w:rPr>
  </w:style>
  <w:style w:type="paragraph" w:styleId="TOC9">
    <w:name w:val="toc 9"/>
    <w:basedOn w:val="Normal"/>
    <w:next w:val="Normal"/>
    <w:autoRedefine/>
    <w:uiPriority w:val="39"/>
    <w:unhideWhenUsed/>
    <w:rsid w:val="00EC6244"/>
    <w:pPr>
      <w:ind w:left="2080"/>
    </w:pPr>
    <w:rPr>
      <w:rFonts w:ascii="Calibri" w:hAnsi="Calibri"/>
      <w:sz w:val="18"/>
      <w:szCs w:val="18"/>
    </w:rPr>
  </w:style>
  <w:style w:type="paragraph" w:customStyle="1" w:styleId="CHAPTERTITLE">
    <w:name w:val="CHAPTER_TITLE"/>
    <w:basedOn w:val="Normal"/>
    <w:uiPriority w:val="99"/>
    <w:rsid w:val="00681BB0"/>
    <w:pPr>
      <w:widowControl/>
      <w:autoSpaceDE w:val="0"/>
      <w:autoSpaceDN w:val="0"/>
      <w:adjustRightInd w:val="0"/>
      <w:spacing w:after="1200" w:line="1000" w:lineRule="atLeast"/>
      <w:jc w:val="center"/>
      <w:textAlignment w:val="center"/>
    </w:pPr>
    <w:rPr>
      <w:rFonts w:ascii="Open Sans Light" w:hAnsi="Open Sans Light" w:cs="Open Sans Light"/>
      <w:color w:val="000000"/>
      <w:spacing w:val="9"/>
      <w:sz w:val="44"/>
      <w:szCs w:val="44"/>
      <w:lang w:eastAsia="zh-CN"/>
    </w:rPr>
  </w:style>
  <w:style w:type="paragraph" w:customStyle="1" w:styleId="titlepagebooktitle">
    <w:name w:val="title page/book title"/>
    <w:basedOn w:val="Normal"/>
    <w:uiPriority w:val="99"/>
    <w:rsid w:val="00BE039C"/>
    <w:pPr>
      <w:pageBreakBefore/>
      <w:widowControl/>
      <w:autoSpaceDE w:val="0"/>
      <w:autoSpaceDN w:val="0"/>
      <w:adjustRightInd w:val="0"/>
      <w:spacing w:after="2640" w:line="288" w:lineRule="auto"/>
      <w:jc w:val="center"/>
      <w:textAlignment w:val="center"/>
    </w:pPr>
    <w:rPr>
      <w:rFonts w:ascii="Charlemagne Std" w:eastAsia="Times New Roman" w:hAnsi="Charlemagne Std" w:cs="Charlemagne Std"/>
      <w:color w:val="000000"/>
      <w:spacing w:val="37"/>
      <w:position w:val="-174"/>
      <w:sz w:val="92"/>
      <w:szCs w:val="92"/>
      <w:lang w:val="en-GB" w:eastAsia="zh-CN" w:bidi="ar-SA"/>
    </w:rPr>
  </w:style>
  <w:style w:type="paragraph" w:customStyle="1" w:styleId="titlepagebooksubtitle">
    <w:name w:val="title page/book subtitle"/>
    <w:basedOn w:val="Normal"/>
    <w:uiPriority w:val="99"/>
    <w:rsid w:val="00BE039C"/>
    <w:pPr>
      <w:widowControl/>
      <w:autoSpaceDE w:val="0"/>
      <w:autoSpaceDN w:val="0"/>
      <w:adjustRightInd w:val="0"/>
      <w:spacing w:after="720" w:line="560" w:lineRule="atLeast"/>
      <w:jc w:val="center"/>
      <w:textAlignment w:val="center"/>
    </w:pPr>
    <w:rPr>
      <w:rFonts w:eastAsia="Times New Roman" w:cs="Century Gothic"/>
      <w:i/>
      <w:iCs/>
      <w:color w:val="000000"/>
      <w:sz w:val="40"/>
      <w:szCs w:val="40"/>
      <w:lang w:val="en-GB" w:eastAsia="zh-CN" w:bidi="ar-SA"/>
    </w:rPr>
  </w:style>
  <w:style w:type="paragraph" w:customStyle="1" w:styleId="titlepageAuthorname">
    <w:name w:val="title page/Authorname"/>
    <w:basedOn w:val="Normal"/>
    <w:uiPriority w:val="99"/>
    <w:rsid w:val="00BE039C"/>
    <w:pPr>
      <w:widowControl/>
      <w:autoSpaceDE w:val="0"/>
      <w:autoSpaceDN w:val="0"/>
      <w:adjustRightInd w:val="0"/>
      <w:spacing w:before="2400" w:after="960" w:line="288" w:lineRule="auto"/>
      <w:jc w:val="center"/>
      <w:textAlignment w:val="center"/>
    </w:pPr>
    <w:rPr>
      <w:rFonts w:ascii="Charlemagne Std" w:eastAsia="Times New Roman" w:hAnsi="Charlemagne Std" w:cs="Charlemagne Std"/>
      <w:color w:val="000000"/>
      <w:spacing w:val="40"/>
      <w:sz w:val="40"/>
      <w:szCs w:val="40"/>
      <w:lang w:val="en-GB" w:eastAsia="zh-CN" w:bidi="ar-SA"/>
    </w:rPr>
  </w:style>
  <w:style w:type="paragraph" w:customStyle="1" w:styleId="centered">
    <w:name w:val="centered"/>
    <w:basedOn w:val="Normal"/>
    <w:uiPriority w:val="99"/>
    <w:rsid w:val="00BE039C"/>
    <w:pPr>
      <w:widowControl/>
      <w:suppressAutoHyphens w:val="0"/>
      <w:autoSpaceDE w:val="0"/>
      <w:autoSpaceDN w:val="0"/>
      <w:adjustRightInd w:val="0"/>
      <w:spacing w:line="280" w:lineRule="atLeast"/>
      <w:jc w:val="center"/>
      <w:textAlignment w:val="center"/>
    </w:pPr>
    <w:rPr>
      <w:rFonts w:eastAsia="Times New Roman" w:cs="Century Gothic"/>
      <w:color w:val="000000"/>
      <w:lang w:eastAsia="zh-CN" w:bidi="ar-SA"/>
    </w:rPr>
  </w:style>
  <w:style w:type="paragraph" w:customStyle="1" w:styleId="firstparagraph0">
    <w:name w:val="first paragraph"/>
    <w:basedOn w:val="Normal"/>
    <w:uiPriority w:val="99"/>
    <w:rsid w:val="00E2641F"/>
    <w:pPr>
      <w:widowControl/>
      <w:autoSpaceDE w:val="0"/>
      <w:autoSpaceDN w:val="0"/>
      <w:adjustRightInd w:val="0"/>
      <w:spacing w:line="336" w:lineRule="auto"/>
      <w:jc w:val="both"/>
      <w:textAlignment w:val="center"/>
    </w:pPr>
    <w:rPr>
      <w:rFonts w:ascii="Libre Baskerville" w:eastAsia="SimSun" w:hAnsi="Libre Baskerville" w:cs="Theano Didot"/>
      <w:color w:val="000000"/>
      <w:lang w:val="en-GB" w:eastAsia="zh-CN" w:bidi="ar-SA"/>
    </w:rPr>
  </w:style>
  <w:style w:type="paragraph" w:customStyle="1" w:styleId="Folios">
    <w:name w:val="Folios"/>
    <w:basedOn w:val="Normal"/>
    <w:uiPriority w:val="99"/>
    <w:rsid w:val="00BA2E75"/>
    <w:pPr>
      <w:widowControl/>
      <w:autoSpaceDE w:val="0"/>
      <w:autoSpaceDN w:val="0"/>
      <w:adjustRightInd w:val="0"/>
      <w:spacing w:line="288" w:lineRule="auto"/>
      <w:jc w:val="center"/>
      <w:textAlignment w:val="center"/>
    </w:pPr>
    <w:rPr>
      <w:rFonts w:ascii="Theano Didot" w:eastAsia="SimSun" w:hAnsi="Theano Didot" w:cs="Theano Didot"/>
      <w:color w:val="000000"/>
      <w:sz w:val="20"/>
      <w:szCs w:val="20"/>
      <w:lang w:val="en-GB" w:eastAsia="zh-CN" w:bidi="ar-SA"/>
    </w:rPr>
  </w:style>
  <w:style w:type="paragraph" w:customStyle="1" w:styleId="FirstParagraph1">
    <w:name w:val="First Paragraph"/>
    <w:basedOn w:val="firstparagraph"/>
    <w:link w:val="FirstParagraphChar0"/>
    <w:qFormat/>
    <w:rsid w:val="00E72DB8"/>
  </w:style>
  <w:style w:type="character" w:styleId="BookTitle">
    <w:name w:val="Book Title"/>
    <w:uiPriority w:val="33"/>
    <w:qFormat/>
    <w:rsid w:val="00C82DCB"/>
    <w:rPr>
      <w:bCs/>
      <w:smallCaps/>
      <w:spacing w:val="110"/>
      <w:sz w:val="96"/>
      <w:szCs w:val="96"/>
    </w:rPr>
  </w:style>
  <w:style w:type="character" w:customStyle="1" w:styleId="FirstParagraphChar0">
    <w:name w:val="First Paragraph Char"/>
    <w:link w:val="FirstParagraph1"/>
    <w:rsid w:val="00E72DB8"/>
    <w:rPr>
      <w:rFonts w:ascii="Century Gothic" w:eastAsia="Calibri" w:hAnsi="Century Gothic" w:cs="Calibri"/>
      <w:sz w:val="22"/>
      <w:szCs w:val="22"/>
      <w:lang w:eastAsia="hi-IN" w:bidi="hi-IN"/>
    </w:rPr>
  </w:style>
  <w:style w:type="paragraph" w:customStyle="1" w:styleId="Pageheaders">
    <w:name w:val="Page headers"/>
    <w:basedOn w:val="CSP-ChapterTitle"/>
    <w:link w:val="PageheadersChar"/>
    <w:qFormat/>
    <w:rsid w:val="00676A9E"/>
    <w:rPr>
      <w:rFonts w:ascii="Aleo" w:hAnsi="Aleo"/>
      <w:caps w:val="0"/>
      <w:spacing w:val="58"/>
      <w:sz w:val="20"/>
      <w:szCs w:val="20"/>
      <w:lang w:eastAsia="zh-CN"/>
    </w:rPr>
  </w:style>
  <w:style w:type="paragraph" w:customStyle="1" w:styleId="H2">
    <w:name w:val="H2"/>
    <w:basedOn w:val="Heading1"/>
    <w:link w:val="H2Char"/>
    <w:rsid w:val="0056151B"/>
    <w:rPr>
      <w:rFonts w:ascii="Aaargh" w:hAnsi="Aaargh"/>
    </w:rPr>
  </w:style>
  <w:style w:type="character" w:customStyle="1" w:styleId="CSP-ChapterTitleChar">
    <w:name w:val="CSP - Chapter Title Char"/>
    <w:link w:val="CSP-ChapterTitle"/>
    <w:rsid w:val="00FF4A04"/>
    <w:rPr>
      <w:rFonts w:eastAsia="Calibri" w:cs="Calibri"/>
      <w:iCs/>
      <w:caps/>
      <w:sz w:val="28"/>
      <w:szCs w:val="28"/>
      <w:lang w:eastAsia="hi-IN" w:bidi="hi-IN"/>
    </w:rPr>
  </w:style>
  <w:style w:type="character" w:customStyle="1" w:styleId="PageheadersChar">
    <w:name w:val="Page headers Char"/>
    <w:link w:val="Pageheaders"/>
    <w:rsid w:val="00676A9E"/>
    <w:rPr>
      <w:rFonts w:ascii="Aleo" w:eastAsia="Calibri" w:hAnsi="Aleo" w:cs="Calibri"/>
      <w:iCs/>
      <w:spacing w:val="58"/>
      <w:lang w:eastAsia="zh-CN" w:bidi="hi-IN"/>
    </w:rPr>
  </w:style>
  <w:style w:type="paragraph" w:customStyle="1" w:styleId="BlockQuote">
    <w:name w:val="BlockQuote"/>
    <w:basedOn w:val="mainbody"/>
    <w:link w:val="BlockQuoteChar"/>
    <w:qFormat/>
    <w:rsid w:val="00C330B7"/>
    <w:pPr>
      <w:ind w:left="432" w:firstLine="0"/>
    </w:pPr>
    <w:rPr>
      <w:i/>
      <w:sz w:val="24"/>
      <w:szCs w:val="24"/>
    </w:rPr>
  </w:style>
  <w:style w:type="character" w:customStyle="1" w:styleId="H2Char">
    <w:name w:val="H2 Char"/>
    <w:link w:val="H2"/>
    <w:rsid w:val="0056151B"/>
    <w:rPr>
      <w:rFonts w:ascii="Aaargh" w:eastAsia="Arial Unicode MS" w:hAnsi="Aaargh"/>
      <w:spacing w:val="126"/>
      <w:kern w:val="52"/>
      <w:sz w:val="40"/>
      <w:szCs w:val="40"/>
      <w:lang w:val="en-AU" w:eastAsia="zh-CN"/>
    </w:rPr>
  </w:style>
  <w:style w:type="paragraph" w:customStyle="1" w:styleId="bar">
    <w:name w:val="bar"/>
    <w:basedOn w:val="FirstParagraph1"/>
    <w:link w:val="barChar"/>
    <w:qFormat/>
    <w:rsid w:val="00CC7509"/>
    <w:pPr>
      <w:spacing w:before="240"/>
      <w:jc w:val="center"/>
    </w:pPr>
    <w:rPr>
      <w:spacing w:val="34"/>
    </w:rPr>
  </w:style>
  <w:style w:type="character" w:customStyle="1" w:styleId="BlockQuoteChar">
    <w:name w:val="BlockQuote Char"/>
    <w:link w:val="BlockQuote"/>
    <w:rsid w:val="00C330B7"/>
    <w:rPr>
      <w:rFonts w:ascii="Libre Baskerville" w:eastAsia="Calibri" w:hAnsi="Libre Baskerville" w:cs="Calibri"/>
      <w:i/>
      <w:sz w:val="24"/>
      <w:szCs w:val="24"/>
      <w:lang w:eastAsia="hi-IN" w:bidi="hi-IN"/>
    </w:rPr>
  </w:style>
  <w:style w:type="character" w:customStyle="1" w:styleId="barChar">
    <w:name w:val="bar Char"/>
    <w:link w:val="bar"/>
    <w:rsid w:val="00CC7509"/>
    <w:rPr>
      <w:rFonts w:ascii="Libre Baskerville" w:eastAsia="Calibri" w:hAnsi="Libre Baskerville" w:cs="Calibri"/>
      <w:spacing w:val="34"/>
      <w:sz w:val="22"/>
      <w:szCs w:val="22"/>
      <w:lang w:eastAsia="hi-IN" w:bidi="hi-IN"/>
    </w:rPr>
  </w:style>
  <w:style w:type="paragraph" w:customStyle="1" w:styleId="ChapterTitle0">
    <w:name w:val="Chapter Title"/>
    <w:basedOn w:val="TOC1"/>
    <w:link w:val="ChapterTitleChar"/>
    <w:qFormat/>
    <w:rsid w:val="005B49CD"/>
    <w:pPr>
      <w:spacing w:before="480"/>
      <w:jc w:val="center"/>
    </w:pPr>
    <w:rPr>
      <w:rFonts w:ascii="Aleo" w:hAnsi="Aleo" w:cs="Open Sans"/>
      <w:spacing w:val="56"/>
      <w:sz w:val="40"/>
      <w:szCs w:val="40"/>
    </w:rPr>
  </w:style>
  <w:style w:type="character" w:customStyle="1" w:styleId="TOC1Char">
    <w:name w:val="TOC 1 Char"/>
    <w:link w:val="TOC1"/>
    <w:uiPriority w:val="39"/>
    <w:rsid w:val="000B37C0"/>
    <w:rPr>
      <w:rFonts w:ascii="Calibri" w:hAnsi="Calibri" w:cs="Arial"/>
      <w:b/>
      <w:bCs/>
      <w:caps/>
      <w:lang w:eastAsia="ar-SA"/>
    </w:rPr>
  </w:style>
  <w:style w:type="character" w:customStyle="1" w:styleId="ChapterTitleChar">
    <w:name w:val="Chapter Title Char"/>
    <w:link w:val="ChapterTitle0"/>
    <w:rsid w:val="005B49CD"/>
    <w:rPr>
      <w:rFonts w:ascii="Aleo" w:hAnsi="Aleo" w:cs="Open Sans"/>
      <w:b/>
      <w:bCs/>
      <w:caps/>
      <w:spacing w:val="56"/>
      <w:sz w:val="40"/>
      <w:szCs w:val="4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947548">
      <w:bodyDiv w:val="1"/>
      <w:marLeft w:val="0"/>
      <w:marRight w:val="0"/>
      <w:marTop w:val="0"/>
      <w:marBottom w:val="0"/>
      <w:divBdr>
        <w:top w:val="none" w:sz="0" w:space="0" w:color="auto"/>
        <w:left w:val="none" w:sz="0" w:space="0" w:color="auto"/>
        <w:bottom w:val="none" w:sz="0" w:space="0" w:color="auto"/>
        <w:right w:val="none" w:sz="0" w:space="0" w:color="auto"/>
      </w:divBdr>
      <w:divsChild>
        <w:div w:id="925924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website.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3287FD4-A760-46AB-B4FC-8AADF0612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12</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NonFiction Template 5x8</vt:lpstr>
    </vt:vector>
  </TitlesOfParts>
  <Company/>
  <LinksUpToDate>false</LinksUpToDate>
  <CharactersWithSpaces>1209</CharactersWithSpaces>
  <SharedDoc>false</SharedDoc>
  <HLinks>
    <vt:vector size="42" baseType="variant">
      <vt:variant>
        <vt:i4>1966132</vt:i4>
      </vt:variant>
      <vt:variant>
        <vt:i4>38</vt:i4>
      </vt:variant>
      <vt:variant>
        <vt:i4>0</vt:i4>
      </vt:variant>
      <vt:variant>
        <vt:i4>5</vt:i4>
      </vt:variant>
      <vt:variant>
        <vt:lpwstr/>
      </vt:variant>
      <vt:variant>
        <vt:lpwstr>_Toc382343113</vt:lpwstr>
      </vt:variant>
      <vt:variant>
        <vt:i4>1966132</vt:i4>
      </vt:variant>
      <vt:variant>
        <vt:i4>32</vt:i4>
      </vt:variant>
      <vt:variant>
        <vt:i4>0</vt:i4>
      </vt:variant>
      <vt:variant>
        <vt:i4>5</vt:i4>
      </vt:variant>
      <vt:variant>
        <vt:lpwstr/>
      </vt:variant>
      <vt:variant>
        <vt:lpwstr>_Toc382343112</vt:lpwstr>
      </vt:variant>
      <vt:variant>
        <vt:i4>1966132</vt:i4>
      </vt:variant>
      <vt:variant>
        <vt:i4>26</vt:i4>
      </vt:variant>
      <vt:variant>
        <vt:i4>0</vt:i4>
      </vt:variant>
      <vt:variant>
        <vt:i4>5</vt:i4>
      </vt:variant>
      <vt:variant>
        <vt:lpwstr/>
      </vt:variant>
      <vt:variant>
        <vt:lpwstr>_Toc382343111</vt:lpwstr>
      </vt:variant>
      <vt:variant>
        <vt:i4>1966132</vt:i4>
      </vt:variant>
      <vt:variant>
        <vt:i4>20</vt:i4>
      </vt:variant>
      <vt:variant>
        <vt:i4>0</vt:i4>
      </vt:variant>
      <vt:variant>
        <vt:i4>5</vt:i4>
      </vt:variant>
      <vt:variant>
        <vt:lpwstr/>
      </vt:variant>
      <vt:variant>
        <vt:lpwstr>_Toc382343110</vt:lpwstr>
      </vt:variant>
      <vt:variant>
        <vt:i4>2031668</vt:i4>
      </vt:variant>
      <vt:variant>
        <vt:i4>14</vt:i4>
      </vt:variant>
      <vt:variant>
        <vt:i4>0</vt:i4>
      </vt:variant>
      <vt:variant>
        <vt:i4>5</vt:i4>
      </vt:variant>
      <vt:variant>
        <vt:lpwstr/>
      </vt:variant>
      <vt:variant>
        <vt:lpwstr>_Toc382343109</vt:lpwstr>
      </vt:variant>
      <vt:variant>
        <vt:i4>2031668</vt:i4>
      </vt:variant>
      <vt:variant>
        <vt:i4>8</vt:i4>
      </vt:variant>
      <vt:variant>
        <vt:i4>0</vt:i4>
      </vt:variant>
      <vt:variant>
        <vt:i4>5</vt:i4>
      </vt:variant>
      <vt:variant>
        <vt:lpwstr/>
      </vt:variant>
      <vt:variant>
        <vt:lpwstr>_Toc382343108</vt:lpwstr>
      </vt:variant>
      <vt:variant>
        <vt:i4>2031668</vt:i4>
      </vt:variant>
      <vt:variant>
        <vt:i4>2</vt:i4>
      </vt:variant>
      <vt:variant>
        <vt:i4>0</vt:i4>
      </vt:variant>
      <vt:variant>
        <vt:i4>5</vt:i4>
      </vt:variant>
      <vt:variant>
        <vt:lpwstr/>
      </vt:variant>
      <vt:variant>
        <vt:lpwstr>_Toc382343107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NonFiction Template 5.5x8.5</dc:title>
  <dc:subject>NonFiction Template 5.5x8.5</dc:subject>
  <dc:creator>Eevi Jones</dc:creator>
  <cp:lastModifiedBy>Nick Love</cp:lastModifiedBy>
  <cp:revision>37</cp:revision>
  <cp:lastPrinted>2015-08-22T12:18:00Z</cp:lastPrinted>
  <dcterms:created xsi:type="dcterms:W3CDTF">2022-03-29T19:47:00Z</dcterms:created>
  <dcterms:modified xsi:type="dcterms:W3CDTF">2025-06-20T21:19:00Z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ies>
</file>