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Project Factory</w:t>
      </w:r>
    </w:p>
    <w:p>
      <w:pPr>
        <w:spacing w:after="260"/>
      </w:pPr>
      <w:r>
        <w:rPr>
          <w:i/>
          <w:iCs/>
          <w:color w:val="666666"/>
          <w:sz w:val="22"/>
          <w:szCs w:val="22"/>
        </w:rPr>
        <w:t xml:space="preserve">Planning Brief — Executive Summary, Delivery Cadence &amp; Portfolio Post</w:t>
      </w:r>
    </w:p>
    <w:p>
      <w:pPr>
        <w:pBdr>
          <w:bottom w:val="single" w:color="CCCCCC" w:sz="6" w:space="1"/>
        </w:pBdr>
        <w:spacing w:after="240" w:before="100"/>
      </w:pPr>
      <w:r>
        <w:t xml:space="preserve"/>
      </w:r>
    </w:p>
    <w:p>
      <w:pPr>
        <w:pStyle w:val="Heading1"/>
        <w:spacing w:after="140" w:before="280"/>
      </w:pPr>
      <w:r>
        <w:rPr>
          <w:b/>
          <w:bCs/>
          <w:color w:val="1A1A1A"/>
        </w:rPr>
        <w:t xml:space="preserve">Executive Summary</w:t>
      </w:r>
    </w:p>
    <w:p>
      <w:pPr>
        <w:spacing w:after="160" w:line="276"/>
      </w:pPr>
      <w:r>
        <w:t xml:space="preserve">Project Factory is a personal developer-tooling platform that automates the repetitive scaffolding work behind starting a new project: cloud infrastructure, CI/CD, secret management, and initial deployment. Rather than re-deriving the same Terraform modules, GitHub Actions pipelines, and Firebase/GCP wiring for every new idea, Project Factory turns that setup into a repeatable, on-demand “factory” that produces a working, deployed baseline in minutes instead of hours.</w:t>
      </w:r>
    </w:p>
    <w:p>
      <w:pPr>
        <w:spacing w:after="160" w:line="276"/>
      </w:pPr>
      <w:r>
        <w:t xml:space="preserve">The tool is built around a preset system: each preset encodes a full project archetype — a Vite + Firebase/Firestore web app, a React Native standalone desktop app (macOS and, later, Windows), or a React Native mobile app (iOS/Android) — including its infrastructure (Terraform), pipeline (GitHub Actions), and secret configuration (pulled from GCP Secret Manager at build time). A lightweight capture layer lets ideas be logged by voice or quick text note and, over time, be routed to the right preset by an agent, lowering the friction between having an idea and having it scaffolded.</w:t>
      </w:r>
    </w:p>
    <w:p>
      <w:pPr>
        <w:spacing w:after="160" w:line="276"/>
      </w:pPr>
      <w:r>
        <w:t xml:space="preserve">Beyond scaffolding, Project Factory doubles as a lightweight operations dashboard: a per-project graph of live connections (APIs, services, HTTP dependencies) for understanding system shape at a glance, and a rollup of commits and contributions across a group of projects for tracking momentum. A later milestone replaces today's baked-in GitHub/GCP configuration with a proper connect flow, so the tool can manage projects it didn't originally scaffold — the point at which it stops being a personal script and becomes a genuine product.</w:t>
      </w:r>
    </w:p>
    <w:p>
      <w:pPr>
        <w:spacing w:after="160" w:line="276"/>
      </w:pPr>
      <w:r>
        <w:t xml:space="preserve">Scope for v1 is intentionally focused: the web app factory (Vite/Firebase) and the standalone desktop factory (macOS, with Windows following via React Native's shared Windows+macOS tooling) are the priority. Mobile, the capture agent, and the connection-graph/observability layer are treated as fast-follow phases once the core factory pattern is proven end-to-end.</w:t>
      </w:r>
    </w:p>
    <w:p>
      <w:pPr>
        <w:pStyle w:val="Heading1"/>
        <w:spacing w:after="140" w:before="280"/>
      </w:pPr>
      <w:r>
        <w:rPr>
          <w:b/>
          <w:bCs/>
          <w:color w:val="1A1A1A"/>
        </w:rPr>
        <w:t xml:space="preserve">Delivery Cadence</w:t>
      </w:r>
    </w:p>
    <w:p>
      <w:pPr>
        <w:spacing w:after="160" w:line="276"/>
      </w:pPr>
      <w:r>
        <w:t xml:space="preserve">Paced for a few hours per week of side-project time. Phases are sequential but each ends in something demoable and independently useful, so the project stays motivating even if a phase slips. Total runway to a v1 covering the web and standalone (macOS + Windows) factories is roughly 4–5 months at this pace; Phases 4–6 extend the tool from “works for me” toward “works for others.”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3200"/>
      </w:tblGrid>
      <w:tr>
        <w:trPr>
          <w:tblHeader/>
        </w:trPr>
        <w:tc>
          <w:tcPr>
            <w:tcW w:type="dxa" w:w="2600"/>
            <w:shd w:fill="2E5AAC" w:val="clear"/>
            <w:tcMar>
              <w:top w:type="dxa" w:w="100"/>
              <w:left w:type="dxa" w:w="120"/>
              <w:bottom w:type="dxa" w:w="100"/>
              <w:right w:type="dxa" w:w="120"/>
            </w:tcMar>
          </w:tcPr>
          <w:p>
            <w:r>
              <w:rPr>
                <w:b/>
                <w:bCs/>
                <w:color w:val="FFFFFF"/>
              </w:rPr>
              <w:t xml:space="preserve">Phase</w:t>
            </w:r>
          </w:p>
        </w:tc>
        <w:tc>
          <w:tcPr>
            <w:tcW w:type="dxa" w:w="3600"/>
            <w:shd w:fill="2E5AAC" w:val="clear"/>
            <w:tcMar>
              <w:top w:type="dxa" w:w="100"/>
              <w:left w:type="dxa" w:w="120"/>
              <w:bottom w:type="dxa" w:w="100"/>
              <w:right w:type="dxa" w:w="120"/>
            </w:tcMar>
          </w:tcPr>
          <w:p>
            <w:r>
              <w:rPr>
                <w:b/>
                <w:bCs/>
                <w:color w:val="FFFFFF"/>
              </w:rPr>
              <w:t xml:space="preserve">Focus</w:t>
            </w:r>
          </w:p>
        </w:tc>
        <w:tc>
          <w:tcPr>
            <w:tcW w:type="dxa" w:w="1600"/>
            <w:shd w:fill="2E5AAC" w:val="clear"/>
            <w:tcMar>
              <w:top w:type="dxa" w:w="100"/>
              <w:left w:type="dxa" w:w="120"/>
              <w:bottom w:type="dxa" w:w="100"/>
              <w:right w:type="dxa" w:w="120"/>
            </w:tcMar>
          </w:tcPr>
          <w:p>
            <w:r>
              <w:rPr>
                <w:b/>
                <w:bCs/>
                <w:color w:val="FFFFFF"/>
              </w:rPr>
              <w:t xml:space="preserve">Target Duration</w:t>
            </w:r>
          </w:p>
        </w:tc>
        <w:tc>
          <w:tcPr>
            <w:tcW w:type="dxa" w:w="3200"/>
            <w:shd w:fill="2E5AAC" w:val="clear"/>
            <w:tcMar>
              <w:top w:type="dxa" w:w="100"/>
              <w:left w:type="dxa" w:w="120"/>
              <w:bottom w:type="dxa" w:w="100"/>
              <w:right w:type="dxa" w:w="120"/>
            </w:tcMar>
          </w:tcPr>
          <w:p>
            <w:r>
              <w:rPr>
                <w:b/>
                <w:bCs/>
                <w:color w:val="FFFFFF"/>
              </w:rPr>
              <w:t xml:space="preserve">Key Deliverable</w:t>
            </w:r>
          </w:p>
        </w:tc>
      </w:tr>
      <w:tr>
        <w:tc>
          <w:tcPr>
            <w:tcW w:type="dxa" w:w="2600"/>
            <w:tcMar>
              <w:top w:type="dxa" w:w="100"/>
              <w:left w:type="dxa" w:w="120"/>
              <w:bottom w:type="dxa" w:w="100"/>
              <w:right w:type="dxa" w:w="120"/>
            </w:tcMar>
          </w:tcPr>
          <w:p>
            <w:r>
              <w:rPr>
                <w:sz w:val="20"/>
                <w:szCs w:val="20"/>
              </w:rPr>
              <w:t xml:space="preserve">Phase 0 — Foundations</w:t>
            </w:r>
          </w:p>
        </w:tc>
        <w:tc>
          <w:tcPr>
            <w:tcW w:type="dxa" w:w="3600"/>
            <w:tcMar>
              <w:top w:type="dxa" w:w="100"/>
              <w:left w:type="dxa" w:w="120"/>
              <w:bottom w:type="dxa" w:w="100"/>
              <w:right w:type="dxa" w:w="120"/>
            </w:tcMar>
          </w:tcPr>
          <w:p>
            <w:r>
              <w:rPr>
                <w:sz w:val="20"/>
                <w:szCs w:val="20"/>
              </w:rPr>
              <w:t xml:space="preserve">Repo setup, Terraform module skeleton, GCP project bootstrap, GCP Secret Manager wiring, declarative preset schema design</w:t>
            </w:r>
          </w:p>
        </w:tc>
        <w:tc>
          <w:tcPr>
            <w:tcW w:type="dxa" w:w="1600"/>
            <w:tcMar>
              <w:top w:type="dxa" w:w="100"/>
              <w:left w:type="dxa" w:w="120"/>
              <w:bottom w:type="dxa" w:w="100"/>
              <w:right w:type="dxa" w:w="120"/>
            </w:tcMar>
          </w:tcPr>
          <w:p>
            <w:r>
              <w:rPr>
                <w:sz w:val="20"/>
                <w:szCs w:val="20"/>
              </w:rPr>
              <w:t xml:space="preserve">1–2 weeks</w:t>
            </w:r>
          </w:p>
        </w:tc>
        <w:tc>
          <w:tcPr>
            <w:tcW w:type="dxa" w:w="3200"/>
            <w:tcMar>
              <w:top w:type="dxa" w:w="100"/>
              <w:left w:type="dxa" w:w="120"/>
              <w:bottom w:type="dxa" w:w="100"/>
              <w:right w:type="dxa" w:w="120"/>
            </w:tcMar>
          </w:tcPr>
          <w:p>
            <w:r>
              <w:rPr>
                <w:sz w:val="20"/>
                <w:szCs w:val="20"/>
              </w:rPr>
              <w:t xml:space="preserve">Empty scaffolded repo deploys a “Hello World” web app end-to-end via CI/CD</w:t>
            </w:r>
          </w:p>
        </w:tc>
      </w:tr>
      <w:tr>
        <w:tc>
          <w:tcPr>
            <w:tcW w:type="dxa" w:w="2600"/>
            <w:tcMar>
              <w:top w:type="dxa" w:w="100"/>
              <w:left w:type="dxa" w:w="120"/>
              <w:bottom w:type="dxa" w:w="100"/>
              <w:right w:type="dxa" w:w="120"/>
            </w:tcMar>
          </w:tcPr>
          <w:p>
            <w:r>
              <w:rPr>
                <w:sz w:val="20"/>
                <w:szCs w:val="20"/>
              </w:rPr>
              <w:t xml:space="preserve">Phase 1 — Web Factory MVP</w:t>
            </w:r>
          </w:p>
        </w:tc>
        <w:tc>
          <w:tcPr>
            <w:tcW w:type="dxa" w:w="3600"/>
            <w:tcMar>
              <w:top w:type="dxa" w:w="100"/>
              <w:left w:type="dxa" w:w="120"/>
              <w:bottom w:type="dxa" w:w="100"/>
              <w:right w:type="dxa" w:w="120"/>
            </w:tcMar>
          </w:tcPr>
          <w:p>
            <w:r>
              <w:rPr>
                <w:sz w:val="20"/>
                <w:szCs w:val="20"/>
              </w:rPr>
              <w:t xml:space="preserve">Vite + Firebase/Firestore preset generator, GitHub Actions templates, Secret Manager injection at build time</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CLI/agent command that spins up a working, deployed web app from a preset</w:t>
            </w:r>
          </w:p>
        </w:tc>
      </w:tr>
      <w:tr>
        <w:tc>
          <w:tcPr>
            <w:tcW w:type="dxa" w:w="2600"/>
            <w:tcMar>
              <w:top w:type="dxa" w:w="100"/>
              <w:left w:type="dxa" w:w="120"/>
              <w:bottom w:type="dxa" w:w="100"/>
              <w:right w:type="dxa" w:w="120"/>
            </w:tcMar>
          </w:tcPr>
          <w:p>
            <w:r>
              <w:rPr>
                <w:sz w:val="20"/>
                <w:szCs w:val="20"/>
              </w:rPr>
              <w:t xml:space="preserve">Phase 2 — Standalone Factory (macOS)</w:t>
            </w:r>
          </w:p>
        </w:tc>
        <w:tc>
          <w:tcPr>
            <w:tcW w:type="dxa" w:w="3600"/>
            <w:tcMar>
              <w:top w:type="dxa" w:w="100"/>
              <w:left w:type="dxa" w:w="120"/>
              <w:bottom w:type="dxa" w:w="100"/>
              <w:right w:type="dxa" w:w="120"/>
            </w:tcMar>
          </w:tcPr>
          <w:p>
            <w:r>
              <w:rPr>
                <w:sz w:val="20"/>
                <w:szCs w:val="20"/>
              </w:rPr>
              <w:t xml:space="preserve">React Native for macOS scaffolding preset, native shell, packaging/signing basics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One-command macOS app scaffold that builds and runs locally</w:t>
            </w:r>
          </w:p>
        </w:tc>
      </w:tr>
      <w:tr>
        <w:tc>
          <w:tcPr>
            <w:tcW w:type="dxa" w:w="2600"/>
            <w:tcMar>
              <w:top w:type="dxa" w:w="100"/>
              <w:left w:type="dxa" w:w="120"/>
              <w:bottom w:type="dxa" w:w="100"/>
              <w:right w:type="dxa" w:w="120"/>
            </w:tcMar>
          </w:tcPr>
          <w:p>
            <w:r>
              <w:rPr>
                <w:sz w:val="20"/>
                <w:szCs w:val="20"/>
              </w:rPr>
              <w:t xml:space="preserve">Phase 3 — Standalone Factory (Windows)</w:t>
            </w:r>
          </w:p>
        </w:tc>
        <w:tc>
          <w:tcPr>
            <w:tcW w:type="dxa" w:w="3600"/>
            <w:tcMar>
              <w:top w:type="dxa" w:w="100"/>
              <w:left w:type="dxa" w:w="120"/>
              <w:bottom w:type="dxa" w:w="100"/>
              <w:right w:type="dxa" w:w="120"/>
            </w:tcMar>
          </w:tcPr>
          <w:p>
            <w:r>
              <w:rPr>
                <w:sz w:val="20"/>
                <w:szCs w:val="20"/>
              </w:rPr>
              <w:t xml:space="preserve">React Native for Windows preset, shared native-module strategy with macOS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Same preset system producing a working Windows build</w:t>
            </w:r>
          </w:p>
        </w:tc>
      </w:tr>
      <w:tr>
        <w:tc>
          <w:tcPr>
            <w:tcW w:type="dxa" w:w="2600"/>
            <w:tcMar>
              <w:top w:type="dxa" w:w="100"/>
              <w:left w:type="dxa" w:w="120"/>
              <w:bottom w:type="dxa" w:w="100"/>
              <w:right w:type="dxa" w:w="120"/>
            </w:tcMar>
          </w:tcPr>
          <w:p>
            <w:r>
              <w:rPr>
                <w:sz w:val="20"/>
                <w:szCs w:val="20"/>
              </w:rPr>
              <w:t xml:space="preserve">Phase 4 — Capture &amp; Presets Layer</w:t>
            </w:r>
          </w:p>
        </w:tc>
        <w:tc>
          <w:tcPr>
            <w:tcW w:type="dxa" w:w="3600"/>
            <w:tcMar>
              <w:top w:type="dxa" w:w="100"/>
              <w:left w:type="dxa" w:w="120"/>
              <w:bottom w:type="dxa" w:w="100"/>
              <w:right w:type="dxa" w:w="120"/>
            </w:tcMar>
          </w:tcPr>
          <w:p>
            <w:r>
              <w:rPr>
                <w:sz w:val="20"/>
                <w:szCs w:val="20"/>
              </w:rPr>
              <w:t xml:space="preserve">STT / quick-note capture, manual mapping of notes to a preset (LLM-based auto-routing deferred)</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Voice or text note saved and manually linked to a preset scaffold</w:t>
            </w:r>
          </w:p>
        </w:tc>
      </w:tr>
      <w:tr>
        <w:tc>
          <w:tcPr>
            <w:tcW w:type="dxa" w:w="2600"/>
            <w:tcMar>
              <w:top w:type="dxa" w:w="100"/>
              <w:left w:type="dxa" w:w="120"/>
              <w:bottom w:type="dxa" w:w="100"/>
              <w:right w:type="dxa" w:w="120"/>
            </w:tcMar>
          </w:tcPr>
          <w:p>
            <w:r>
              <w:rPr>
                <w:sz w:val="20"/>
                <w:szCs w:val="20"/>
              </w:rPr>
              <w:t xml:space="preserve">Phase 5 — Observability</w:t>
            </w:r>
          </w:p>
        </w:tc>
        <w:tc>
          <w:tcPr>
            <w:tcW w:type="dxa" w:w="3600"/>
            <w:tcMar>
              <w:top w:type="dxa" w:w="100"/>
              <w:left w:type="dxa" w:w="120"/>
              <w:bottom w:type="dxa" w:w="100"/>
              <w:right w:type="dxa" w:w="120"/>
            </w:tcMar>
          </w:tcPr>
          <w:p>
            <w:r>
              <w:rPr>
                <w:sz w:val="20"/>
                <w:szCs w:val="20"/>
              </w:rPr>
              <w:t xml:space="preserve">Per-project connection graph (HTTP/services), commit &amp; contribution views for groups</w:t>
            </w:r>
          </w:p>
        </w:tc>
        <w:tc>
          <w:tcPr>
            <w:tcW w:type="dxa" w:w="1600"/>
            <w:tcMar>
              <w:top w:type="dxa" w:w="100"/>
              <w:left w:type="dxa" w:w="120"/>
              <w:bottom w:type="dxa" w:w="100"/>
              <w:right w:type="dxa" w:w="120"/>
            </w:tcMar>
          </w:tcPr>
          <w:p>
            <w:r>
              <w:rPr>
                <w:sz w:val="20"/>
                <w:szCs w:val="20"/>
              </w:rPr>
              <w:t xml:space="preserve">3–4 weeks</w:t>
            </w:r>
          </w:p>
        </w:tc>
        <w:tc>
          <w:tcPr>
            <w:tcW w:type="dxa" w:w="3200"/>
            <w:tcMar>
              <w:top w:type="dxa" w:w="100"/>
              <w:left w:type="dxa" w:w="120"/>
              <w:bottom w:type="dxa" w:w="100"/>
              <w:right w:type="dxa" w:w="120"/>
            </w:tcMar>
          </w:tcPr>
          <w:p>
            <w:r>
              <w:rPr>
                <w:sz w:val="20"/>
                <w:szCs w:val="20"/>
              </w:rPr>
              <w:t xml:space="preserve">Dashboard showing live project topology and team activity</w:t>
            </w:r>
          </w:p>
        </w:tc>
      </w:tr>
      <w:tr>
        <w:tc>
          <w:tcPr>
            <w:tcW w:type="dxa" w:w="2600"/>
            <w:tcMar>
              <w:top w:type="dxa" w:w="100"/>
              <w:left w:type="dxa" w:w="120"/>
              <w:bottom w:type="dxa" w:w="100"/>
              <w:right w:type="dxa" w:w="120"/>
            </w:tcMar>
          </w:tcPr>
          <w:p>
            <w:r>
              <w:rPr>
                <w:sz w:val="20"/>
                <w:szCs w:val="20"/>
              </w:rPr>
              <w:t xml:space="preserve">Phase 6 — Connect, Not Bake</w:t>
            </w:r>
          </w:p>
        </w:tc>
        <w:tc>
          <w:tcPr>
            <w:tcW w:type="dxa" w:w="3600"/>
            <w:tcMar>
              <w:top w:type="dxa" w:w="100"/>
              <w:left w:type="dxa" w:w="120"/>
              <w:bottom w:type="dxa" w:w="100"/>
              <w:right w:type="dxa" w:w="120"/>
            </w:tcMar>
          </w:tcPr>
          <w:p>
            <w:r>
              <w:rPr>
                <w:sz w:val="20"/>
                <w:szCs w:val="20"/>
              </w:rPr>
              <w:t xml:space="preserve">Swap hard-coded GitHub/GCP config for user-supplied connections (OAuth/service accounts)</w:t>
            </w:r>
          </w:p>
        </w:tc>
        <w:tc>
          <w:tcPr>
            <w:tcW w:type="dxa" w:w="1600"/>
            <w:tcMar>
              <w:top w:type="dxa" w:w="100"/>
              <w:left w:type="dxa" w:w="120"/>
              <w:bottom w:type="dxa" w:w="100"/>
              <w:right w:type="dxa" w:w="120"/>
            </w:tcMar>
          </w:tcPr>
          <w:p>
            <w:r>
              <w:rPr>
                <w:sz w:val="20"/>
                <w:szCs w:val="20"/>
              </w:rPr>
              <w:t xml:space="preserve">2–3 weeks</w:t>
            </w:r>
          </w:p>
        </w:tc>
        <w:tc>
          <w:tcPr>
            <w:tcW w:type="dxa" w:w="3200"/>
            <w:tcMar>
              <w:top w:type="dxa" w:w="100"/>
              <w:left w:type="dxa" w:w="120"/>
              <w:bottom w:type="dxa" w:w="100"/>
              <w:right w:type="dxa" w:w="120"/>
            </w:tcMar>
          </w:tcPr>
          <w:p>
            <w:r>
              <w:rPr>
                <w:sz w:val="20"/>
                <w:szCs w:val="20"/>
              </w:rPr>
              <w:t xml:space="preserve">Tool usable on a project it didn't scaffold itself</w:t>
            </w:r>
          </w:p>
        </w:tc>
      </w:tr>
    </w:tbl>
    <w:p>
      <w:pPr>
        <w:spacing w:after="100" w:before="220"/>
      </w:pPr>
      <w:r>
        <w:rPr>
          <w:b/>
          <w:bCs/>
          <w:color w:val="2E5AAC"/>
        </w:rPr>
        <w:t xml:space="preserve">Cadence habits: </w:t>
      </w:r>
    </w:p>
    <w:p>
      <w:pPr>
        <w:pStyle w:val="ListParagraph"/>
        <w:numPr>
          <w:ilvl w:val="0"/>
          <w:numId w:val="2"/>
        </w:numPr>
        <w:spacing w:after="80" w:line="270"/>
      </w:pPr>
      <w:r>
        <w:t xml:space="preserve">Ship something runnable at the end of every phase — no phase ends with only partial infrastructure and no working output.</w:t>
      </w:r>
    </w:p>
    <w:p>
      <w:pPr>
        <w:pStyle w:val="ListParagraph"/>
        <w:numPr>
          <w:ilvl w:val="0"/>
          <w:numId w:val="2"/>
        </w:numPr>
        <w:spacing w:after="80" w:line="270"/>
      </w:pPr>
      <w:r>
        <w:t xml:space="preserve">Keep a running “built in public” log (even just private notes) so the LinkedIn post below can be updated with real screenshots and milestones rather than written cold.</w:t>
      </w:r>
    </w:p>
    <w:p>
      <w:pPr>
        <w:pStyle w:val="ListParagraph"/>
        <w:numPr>
          <w:ilvl w:val="0"/>
          <w:numId w:val="2"/>
        </w:numPr>
        <w:spacing w:after="80" w:line="270"/>
      </w:pPr>
      <w:r>
        <w:t xml:space="preserve">Re-evaluate scope at the end of Phase 3 (standalone factory complete) before committing to the capture-agent and observability phases.</w:t>
      </w:r>
    </w:p>
    <w:p>
      <w:pPr>
        <w:pStyle w:val="Heading1"/>
        <w:spacing w:after="140" w:before="280"/>
      </w:pPr>
      <w:r>
        <w:rPr>
          <w:b/>
          <w:bCs/>
          <w:color w:val="1A1A1A"/>
        </w:rPr>
        <w:t xml:space="preserve">LinkedIn Post — Draft</w:t>
      </w:r>
    </w:p>
    <w:p>
      <w:pPr>
        <w:spacing w:after="160" w:line="276"/>
      </w:pPr>
      <w:r>
        <w:rPr>
          <w:i/>
          <w:iCs/>
          <w:color w:val="666666"/>
          <w:sz w:val="20"/>
          <w:szCs w:val="20"/>
        </w:rPr>
        <w:t xml:space="preserve">Purpose: personal brand / portfolio visibility. Meant to be posted once there's a real demo (end of Phase 1 or Phase 2), not before — pair it with a short screen recording or GIF of the factory generating a live, deployed project.</w:t>
      </w:r>
    </w:p>
    <w:p>
      <w:pPr>
        <w:pBdr>
          <w:top w:val="single" w:color="D9DEE9" w:sz="4" w:space="8"/>
          <w:bottom w:val="single" w:color="D9DEE9" w:sz="4" w:space="8"/>
          <w:left w:val="single" w:color="D9DEE9" w:sz="4" w:space="8"/>
          <w:right w:val="single" w:color="D9DEE9" w:sz="4" w:space="8"/>
        </w:pBdr>
        <w:shd w:fill="F4F6FB" w:val="clear"/>
        <w:spacing w:after="160" w:before="160"/>
      </w:pPr>
      <w:r>
        <w:t xml:space="preserve">I kept starting new side projects and spending the first weekend just wiring up infrastructure — Terraform, GitHub Actions, Firebase config, secrets — before writing a single line of the actual idea.</w:t>
      </w:r>
    </w:p>
    <w:p>
      <w:pPr>
        <w:spacing w:after="160" w:line="276"/>
      </w:pPr>
      <w:r>
        <w:t xml:space="preserve">So I built Project Factory: a tool that scaffolds a fully deployed project — cloud infra, CI/CD, secret management, and a live app — from a single preset, in minutes instead of a weekend.</w:t>
      </w:r>
    </w:p>
    <w:p>
      <w:pPr>
        <w:spacing w:after="160" w:line="276"/>
      </w:pPr>
      <w:r>
        <w:t xml:space="preserve">Right now it can spin up:</w:t>
      </w:r>
    </w:p>
    <w:p>
      <w:pPr>
        <w:pStyle w:val="ListParagraph"/>
        <w:numPr>
          <w:ilvl w:val="0"/>
          <w:numId w:val="2"/>
        </w:numPr>
        <w:spacing w:after="80" w:line="270"/>
      </w:pPr>
      <w:r>
        <w:t xml:space="preserve">A Vite + Firebase/Firestore web app, deployed with GitHub Actions from day one</w:t>
      </w:r>
    </w:p>
    <w:p>
      <w:pPr>
        <w:pStyle w:val="ListParagraph"/>
        <w:numPr>
          <w:ilvl w:val="0"/>
          <w:numId w:val="2"/>
        </w:numPr>
        <w:spacing w:after="80" w:line="270"/>
      </w:pPr>
      <w:r>
        <w:t xml:space="preserve">A React Native standalone desktop app (macOS, with Windows next) sharing the same scaffolding pattern</w:t>
      </w:r>
    </w:p>
    <w:p>
      <w:pPr>
        <w:spacing w:after="160" w:line="276"/>
      </w:pPr>
      <w:r>
        <w:t xml:space="preserve">Next up: a voice-note capture layer so I can describe an idea out loud and have it routed straight to the right preset, plus a live connection graph so I can see how each project's services actually talk to each other.</w:t>
      </w:r>
    </w:p>
    <w:p>
      <w:pPr>
        <w:spacing w:after="160" w:line="276"/>
      </w:pPr>
      <w:r>
        <w:t xml:space="preserve">Still early, but it's already saving me a weekend every time I start something new. More updates as the standalone factory comes together.</w:t>
      </w:r>
    </w:p>
    <w:p>
      <w:pPr>
        <w:spacing w:after="160" w:line="276"/>
      </w:pPr>
      <w:r>
        <w:rPr>
          <w:color w:val="2E5AAC"/>
          <w:sz w:val="20"/>
          <w:szCs w:val="20"/>
        </w:rPr>
        <w:t xml:space="preserve">#buildinpublic #softwareengineering #devtools #reactnative #terraform</w:t>
      </w:r>
    </w:p>
    <w:p>
      <w:pPr>
        <w:pStyle w:val="Heading1"/>
        <w:spacing w:after="140" w:before="280"/>
      </w:pPr>
      <w:r>
        <w:rPr>
          <w:b/>
          <w:bCs/>
          <w:color w:val="1A1A1A"/>
        </w:rPr>
        <w:t xml:space="preserve">Decisions Log</w:t>
      </w:r>
    </w:p>
    <w:p>
      <w:pPr>
        <w:spacing w:after="120"/>
      </w:pPr>
      <w:r>
        <w:rPr>
          <w:b/>
          <w:bCs/>
          <w:color w:val="2E5AAC"/>
        </w:rPr>
        <w:t xml:space="preserve">Secrets manager: </w:t>
      </w:r>
      <w:r>
        <w:t xml:space="preserve">GCP Secret Manager, not Keeper. Keeper's per-record subscription tiers don't fit a growing personal project count; Secret Manager bills per active secret version ($0.06/version/month) and per access operation ($0.03 per 10,000 calls), with 6 versions and 10,000 access operations free every month — no hard cap, and it sits under the same GCP IAM/auth model as the rest of the infrastructure instead of a separate vendor credential.</w:t>
      </w:r>
    </w:p>
    <w:p>
      <w:pPr>
        <w:spacing w:after="120"/>
      </w:pPr>
      <w:r>
        <w:rPr>
          <w:b/>
          <w:bCs/>
          <w:color w:val="2E5AAC"/>
        </w:rPr>
        <w:t xml:space="preserve">Preset authoring format: </w:t>
      </w:r>
      <w:r>
        <w:t xml:space="preserve">Declarative. Each preset is defined as data (YAML/JSON) describing its infra module, pipeline template, and app-type scaffold, rather than as code — new presets should not require changes to the factory engine itself.</w:t>
      </w:r>
    </w:p>
    <w:p>
      <w:pPr>
        <w:spacing w:after="120"/>
      </w:pPr>
      <w:r>
        <w:rPr>
          <w:b/>
          <w:bCs/>
          <w:color w:val="2E5AAC"/>
        </w:rPr>
        <w:t xml:space="preserve">Capture-to-preset agent: </w:t>
      </w:r>
      <w:r>
        <w:t xml:space="preserve">Deferred. Phase 4 ships manual note capture and manual preset selection only. Routing a captured idea to a preset via an LLM classifier is explicitly out of scope for the initial build and will be scoped separately once the preset library is large enough to need it.</w:t>
      </w:r>
    </w:p>
    <w:p>
      <w:pPr>
        <w:spacing w:after="120"/>
      </w:pPr>
      <w:r>
        <w:rPr>
          <w:b/>
          <w:bCs/>
          <w:color w:val="2E5AAC"/>
        </w:rPr>
        <w:t xml:space="preserve">Secret granularity: </w:t>
      </w:r>
      <w:r>
        <w:t xml:space="preserve">One secret per credential type per project (e.g. firebase-config, github-token, gcp-sa-key as separate Secret Manager entries), not one bundled secret per project. Naming convention: {project-slug}-{credential-type}. The Terraform secrets module should accept a list of credential types per preset and loop to create one secret resource per entry, so it stays preset-agnostic rather than assuming a fixed set of credentials.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2026-08-16T16:39:11.981Z</dcterms:created>
  <dcterms:modified xsi:type="dcterms:W3CDTF">2026-08-16T16:39:11.992Z</dcterms:modified>
</cp:coreProperties>
</file>

<file path=docProps/custom.xml><?xml version="1.0" encoding="utf-8"?>
<Properties xmlns="http://schemas.openxmlformats.org/officeDocument/2006/custom-properties" xmlns:vt="http://schemas.openxmlformats.org/officeDocument/2006/docPropsVTypes"/>
</file>