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C93AD" w14:textId="0E344C99" w:rsidR="00011B4A" w:rsidRDefault="00011B4A" w:rsidP="00011B4A">
      <w:pPr>
        <w:ind w:firstLine="720"/>
      </w:pPr>
      <w:r>
        <w:t xml:space="preserve">Samples were collected in 2005 (1 year after fire) and 2023 (18 years after fire). All of these sites were dominated by black spruce before they burned, and some have revegetated as spruce-dominated while others have transitioned to deciduous dominance. </w:t>
      </w:r>
      <w:r w:rsidR="000C43DE">
        <w:t>Areas that burn at high severity and areas that had thinner soil organic layers before fire are more likely to transition to deciduous dominance (so deciduous sites are more likely to have thin residual soil organic layers right after fire). Plant functional traits differ between spruce and deciduous species and we want to know how these differences will impact soil C cycling!</w:t>
      </w:r>
    </w:p>
    <w:p w14:paraId="2B4B5647" w14:textId="403E3CD5" w:rsidR="0028276F" w:rsidRDefault="00011B4A" w:rsidP="00011B4A">
      <w:pPr>
        <w:ind w:firstLine="720"/>
      </w:pPr>
      <w:r>
        <w:t xml:space="preserve">In 2005, 4 soil samples were collected randomly across </w:t>
      </w:r>
      <w:r w:rsidR="00DE0A98">
        <w:t>each</w:t>
      </w:r>
      <w:r>
        <w:t xml:space="preserve"> site, with the goal of capturing heterogeneity. Samples consisted of the entire organic layer (segmented into dead moss, fibric, and humic – in order of depth and increasing extent of decomposition) and the top 10 cm of mineral soil (segmented into 0-5 cm (M1) and 5-10 cm (M2) increments). The depth of each organic horizon was also measured at 11 points along a depth transect. These depth measurements and physical soil samples were used to calculate soil carbon pools for each site. </w:t>
      </w:r>
    </w:p>
    <w:p w14:paraId="4FA3555C" w14:textId="150A8095" w:rsidR="00011B4A" w:rsidRDefault="00011B4A" w:rsidP="00011B4A">
      <w:pPr>
        <w:ind w:firstLine="720"/>
      </w:pPr>
      <w:r>
        <w:t xml:space="preserve">In 2023, we resampled these sites. The organic layer was segmented into the same horizons as it was in 2005, with the addition of an “above char” horizon, which is just the organic material that accumulated on top of the char layer (this is essentially the surface organic layer accumulation between sampling times).  </w:t>
      </w:r>
      <w:r w:rsidR="00DE0A98">
        <w:t xml:space="preserve">Rather than random sampling across the site, physical samples in 2023 were collected at fixed locations along the soil depth transect. </w:t>
      </w:r>
    </w:p>
    <w:p w14:paraId="6F051E38" w14:textId="3E9C45C6" w:rsidR="00DE0A98" w:rsidRDefault="00DE0A98" w:rsidP="000C43DE">
      <w:pPr>
        <w:ind w:firstLine="720"/>
      </w:pPr>
      <w:r>
        <w:t xml:space="preserve">We want to create a multi-pool model using our newly developing </w:t>
      </w:r>
      <w:proofErr w:type="spellStart"/>
      <w:r>
        <w:t>soilR</w:t>
      </w:r>
      <w:proofErr w:type="spellEnd"/>
      <w:r>
        <w:t xml:space="preserve"> skills to </w:t>
      </w:r>
      <w:r w:rsidR="000C43DE">
        <w:t>estimate rates of inputs (</w:t>
      </w:r>
      <w:proofErr w:type="spellStart"/>
      <w:r w:rsidR="000C43DE">
        <w:t>i</w:t>
      </w:r>
      <w:proofErr w:type="spellEnd"/>
      <w:r w:rsidR="000C43DE">
        <w:t>) and decomposition constants (k) in spruce and deciduous stands. We have C pools for each site (calculated from physical soil samples + depth transect values) and 14C values for a subset of the physical soil samples taken in each year. How should we partition our samples into pools? What model structure</w:t>
      </w:r>
      <w:r w:rsidR="008170FC">
        <w:t>(s)</w:t>
      </w:r>
      <w:r w:rsidR="000C43DE">
        <w:t xml:space="preserve"> should we use?</w:t>
      </w:r>
      <w:r w:rsidR="00811856">
        <w:t xml:space="preserve"> Take a look at the data attached and pick a site to focus on!</w:t>
      </w:r>
      <w:r w:rsidR="00CA5C33">
        <w:t xml:space="preserve"> </w:t>
      </w:r>
    </w:p>
    <w:p w14:paraId="054CEAB8" w14:textId="4B543ED4" w:rsidR="000C43DE" w:rsidRDefault="00EA5DD9" w:rsidP="00011B4A">
      <w:pPr>
        <w:ind w:firstLine="720"/>
      </w:pPr>
      <w:r w:rsidRPr="00EA5DD9">
        <w:drawing>
          <wp:inline distT="0" distB="0" distL="0" distR="0" wp14:anchorId="773E4E8B" wp14:editId="2D0A09B7">
            <wp:extent cx="2432050" cy="2538173"/>
            <wp:effectExtent l="0" t="0" r="6350" b="0"/>
            <wp:docPr id="1610502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502354" name=""/>
                    <pic:cNvPicPr/>
                  </pic:nvPicPr>
                  <pic:blipFill>
                    <a:blip r:embed="rId4"/>
                    <a:stretch>
                      <a:fillRect/>
                    </a:stretch>
                  </pic:blipFill>
                  <pic:spPr>
                    <a:xfrm>
                      <a:off x="0" y="0"/>
                      <a:ext cx="2449488" cy="2556372"/>
                    </a:xfrm>
                    <a:prstGeom prst="rect">
                      <a:avLst/>
                    </a:prstGeom>
                  </pic:spPr>
                </pic:pic>
              </a:graphicData>
            </a:graphic>
          </wp:inline>
        </w:drawing>
      </w:r>
      <w:r w:rsidRPr="00EA5DD9">
        <w:t xml:space="preserve"> </w:t>
      </w:r>
      <w:r w:rsidR="00811856">
        <w:rPr>
          <w:noProof/>
        </w:rPr>
        <w:drawing>
          <wp:inline distT="0" distB="0" distL="0" distR="0" wp14:anchorId="6A4090BA" wp14:editId="45F09BFD">
            <wp:extent cx="2540000" cy="1120588"/>
            <wp:effectExtent l="0" t="0" r="0" b="3810"/>
            <wp:docPr id="582027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45569" cy="1123045"/>
                    </a:xfrm>
                    <a:prstGeom prst="rect">
                      <a:avLst/>
                    </a:prstGeom>
                    <a:noFill/>
                  </pic:spPr>
                </pic:pic>
              </a:graphicData>
            </a:graphic>
          </wp:inline>
        </w:drawing>
      </w:r>
    </w:p>
    <w:sectPr w:rsidR="000C43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B4A"/>
    <w:rsid w:val="00011B4A"/>
    <w:rsid w:val="000C43DE"/>
    <w:rsid w:val="0028276F"/>
    <w:rsid w:val="002F366A"/>
    <w:rsid w:val="004B7B87"/>
    <w:rsid w:val="0055647E"/>
    <w:rsid w:val="0077660F"/>
    <w:rsid w:val="00811856"/>
    <w:rsid w:val="008170FC"/>
    <w:rsid w:val="00CA5C33"/>
    <w:rsid w:val="00DE0A98"/>
    <w:rsid w:val="00EA5D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7CC624D"/>
  <w15:chartTrackingRefBased/>
  <w15:docId w15:val="{AEAE8FF4-C47A-4A00-AC26-807E6520A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1B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1B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1B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1B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1B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1B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1B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1B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1B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1B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1B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1B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1B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1B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1B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1B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1B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1B4A"/>
    <w:rPr>
      <w:rFonts w:eastAsiaTheme="majorEastAsia" w:cstheme="majorBidi"/>
      <w:color w:val="272727" w:themeColor="text1" w:themeTint="D8"/>
    </w:rPr>
  </w:style>
  <w:style w:type="paragraph" w:styleId="Title">
    <w:name w:val="Title"/>
    <w:basedOn w:val="Normal"/>
    <w:next w:val="Normal"/>
    <w:link w:val="TitleChar"/>
    <w:uiPriority w:val="10"/>
    <w:qFormat/>
    <w:rsid w:val="00011B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1B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1B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1B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1B4A"/>
    <w:pPr>
      <w:spacing w:before="160"/>
      <w:jc w:val="center"/>
    </w:pPr>
    <w:rPr>
      <w:i/>
      <w:iCs/>
      <w:color w:val="404040" w:themeColor="text1" w:themeTint="BF"/>
    </w:rPr>
  </w:style>
  <w:style w:type="character" w:customStyle="1" w:styleId="QuoteChar">
    <w:name w:val="Quote Char"/>
    <w:basedOn w:val="DefaultParagraphFont"/>
    <w:link w:val="Quote"/>
    <w:uiPriority w:val="29"/>
    <w:rsid w:val="00011B4A"/>
    <w:rPr>
      <w:i/>
      <w:iCs/>
      <w:color w:val="404040" w:themeColor="text1" w:themeTint="BF"/>
    </w:rPr>
  </w:style>
  <w:style w:type="paragraph" w:styleId="ListParagraph">
    <w:name w:val="List Paragraph"/>
    <w:basedOn w:val="Normal"/>
    <w:uiPriority w:val="34"/>
    <w:qFormat/>
    <w:rsid w:val="00011B4A"/>
    <w:pPr>
      <w:ind w:left="720"/>
      <w:contextualSpacing/>
    </w:pPr>
  </w:style>
  <w:style w:type="character" w:styleId="IntenseEmphasis">
    <w:name w:val="Intense Emphasis"/>
    <w:basedOn w:val="DefaultParagraphFont"/>
    <w:uiPriority w:val="21"/>
    <w:qFormat/>
    <w:rsid w:val="00011B4A"/>
    <w:rPr>
      <w:i/>
      <w:iCs/>
      <w:color w:val="2F5496" w:themeColor="accent1" w:themeShade="BF"/>
    </w:rPr>
  </w:style>
  <w:style w:type="paragraph" w:styleId="IntenseQuote">
    <w:name w:val="Intense Quote"/>
    <w:basedOn w:val="Normal"/>
    <w:next w:val="Normal"/>
    <w:link w:val="IntenseQuoteChar"/>
    <w:uiPriority w:val="30"/>
    <w:qFormat/>
    <w:rsid w:val="00011B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1B4A"/>
    <w:rPr>
      <w:i/>
      <w:iCs/>
      <w:color w:val="2F5496" w:themeColor="accent1" w:themeShade="BF"/>
    </w:rPr>
  </w:style>
  <w:style w:type="character" w:styleId="IntenseReference">
    <w:name w:val="Intense Reference"/>
    <w:basedOn w:val="DefaultParagraphFont"/>
    <w:uiPriority w:val="32"/>
    <w:qFormat/>
    <w:rsid w:val="00011B4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1</Pages>
  <Words>318</Words>
  <Characters>1816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Anastasia Pulak</dc:creator>
  <cp:keywords/>
  <dc:description/>
  <cp:lastModifiedBy>Anastasia Pulak</cp:lastModifiedBy>
  <cp:revision>1</cp:revision>
  <dcterms:created xsi:type="dcterms:W3CDTF">2026-03-26T16:38:00Z</dcterms:created>
  <dcterms:modified xsi:type="dcterms:W3CDTF">2026-03-26T18:08:00Z</dcterms:modified>
</cp:coreProperties>
</file>