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color w:val="2E75B6"/>
          <w:sz w:val="20"/>
          <w:szCs w:val="20"/>
        </w:rPr>
        <w:t>PROPOSTA DE DESENVOLVIMENTO</w:t>
      </w:r>
    </w:p>
    <w:p>
      <w:pPr>
        <w:pStyle w:val="Normal"/>
        <w:spacing w:before="0" w:after="300"/>
        <w:rPr/>
      </w:pPr>
      <w:r>
        <w:rPr>
          <w:b/>
          <w:bCs/>
          <w:color w:val="1F3B57"/>
          <w:sz w:val="40"/>
          <w:szCs w:val="40"/>
        </w:rPr>
        <w:t>Avaliação de Crédito Alternativo Baseado em Padrões de Uso de Telecomunicações</w:t>
      </w:r>
    </w:p>
    <w:p>
      <w:pPr>
        <w:pStyle w:val="Normal"/>
        <w:spacing w:lineRule="auto" w:line="276" w:before="0" w:after="160"/>
        <w:rPr/>
      </w:pPr>
      <w:r>
        <w:rPr>
          <w:color w:val="555555"/>
          <w:sz w:val="20"/>
          <w:szCs w:val="20"/>
        </w:rPr>
        <w:t>Prazo de entrega: 08/11/2026</w:t>
      </w:r>
    </w:p>
    <w:p>
      <w:pPr>
        <w:pStyle w:val="Heading1"/>
        <w:spacing w:before="360" w:after="160"/>
        <w:rPr/>
      </w:pPr>
      <w:r>
        <w:rPr>
          <w:b/>
          <w:bCs/>
          <w:color w:val="1F3B57"/>
          <w:sz w:val="30"/>
          <w:szCs w:val="30"/>
        </w:rPr>
        <w:t>Objetivo</w:t>
      </w:r>
    </w:p>
    <w:p>
      <w:pPr>
        <w:pStyle w:val="Normal"/>
        <w:spacing w:lineRule="auto" w:line="276" w:before="0" w:after="160"/>
        <w:rPr/>
      </w:pPr>
      <w:r>
        <w:rPr>
          <w:sz w:val="22"/>
          <w:szCs w:val="22"/>
        </w:rPr>
        <w:t>Desenvolver uma plataforma de credit scoring alternativo que utiliza dados internos de uma operadora de telecomunicações — pontualidade no pagamento de faturas, recargas de pré-pago e tempo de permanência na base — como variáveis preditivas de risco de crédito, viabilizando a concessão de crédito a pessoas hoje invisíveis aos modelos tradicionais.</w:t>
      </w:r>
    </w:p>
    <w:p>
      <w:pPr>
        <w:pStyle w:val="Heading1"/>
        <w:spacing w:before="360" w:after="160"/>
        <w:rPr/>
      </w:pPr>
      <w:r>
        <w:rPr>
          <w:b/>
          <w:bCs/>
          <w:color w:val="1F3B57"/>
          <w:sz w:val="30"/>
          <w:szCs w:val="30"/>
        </w:rPr>
        <w:t>Dores a serem atingidas</w:t>
      </w:r>
    </w:p>
    <w:p>
      <w:pPr>
        <w:pStyle w:val="Normal"/>
        <w:spacing w:lineRule="auto" w:line="276" w:before="0" w:after="160"/>
        <w:rPr/>
      </w:pPr>
      <w:r>
        <w:rPr>
          <w:sz w:val="22"/>
          <w:szCs w:val="22"/>
        </w:rPr>
        <w:t>Problemas do público desbancado que a plataforma pretende endereçar: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sz w:val="22"/>
          <w:szCs w:val="22"/>
        </w:rPr>
        <w:t>Ausência de histórico formal de crédito, mesmo com comportamento financeiro estável em outras frentes.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Dependência de crédito informal (agiotagem, "fiado") com juros muito superiores aos do mercado regulado.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Modelos tradicionais de análise não capturam renda informal ou variável, penalizando autônomos.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sz w:val="22"/>
          <w:szCs w:val="22"/>
        </w:rPr>
        <w:t>Desconfiança mútua entre bancos e esse público, que dificulta o primeiro acesso ao crédito formal.</w:t>
      </w:r>
    </w:p>
    <w:p>
      <w:pPr>
        <w:pStyle w:val="Heading1"/>
        <w:spacing w:before="360" w:after="160"/>
        <w:rPr/>
      </w:pPr>
      <w:r>
        <w:rPr>
          <w:b/>
          <w:bCs/>
          <w:color w:val="1F3B57"/>
          <w:sz w:val="30"/>
          <w:szCs w:val="30"/>
        </w:rPr>
        <w:t>Justificativa</w:t>
      </w:r>
    </w:p>
    <w:p>
      <w:pPr>
        <w:pStyle w:val="Normal"/>
        <w:spacing w:lineRule="auto" w:line="276" w:before="0" w:after="160"/>
        <w:rPr/>
      </w:pPr>
      <w:r>
        <w:rPr>
          <w:sz w:val="22"/>
          <w:szCs w:val="22"/>
        </w:rPr>
        <w:t>Uma parcela relevante da população economicamente ativa no Brasil permanece desbancada ou subatendida pelo sistema financeiro tradicional, mas é majoritariamente atendida por operadoras de telecomunicações — inclusive no regime pré-pago — o que gera um rastro de dados comportamentais relevante para inferência de risco.</w:t>
      </w:r>
    </w:p>
    <w:p>
      <w:pPr>
        <w:pStyle w:val="Normal"/>
        <w:spacing w:lineRule="auto" w:line="276" w:before="0" w:after="160"/>
        <w:rPr/>
      </w:pPr>
      <w:r>
        <w:rPr>
          <w:sz w:val="22"/>
          <w:szCs w:val="22"/>
        </w:rPr>
        <w:t>Uma parceria entre operadora e instituição financeira permite transformar esse rastro em uma variável de score complementar: o banco ganha um novo caminho para aprovar crédito a um público hoje recusado e adquire clientes; a operadora aumenta a retenção e a migração para pós-pago; o cliente ganha acesso a crédito mais justo a partir de um histórico que já constrói no dia a dia.</w:t>
      </w:r>
    </w:p>
    <w:p>
      <w:pPr>
        <w:pStyle w:val="Heading1"/>
        <w:spacing w:before="360" w:after="160"/>
        <w:rPr/>
      </w:pPr>
      <w:r>
        <w:rPr>
          <w:b/>
          <w:bCs/>
          <w:color w:val="1F3B57"/>
          <w:sz w:val="30"/>
          <w:szCs w:val="30"/>
        </w:rPr>
        <w:t>Persona</w:t>
      </w:r>
    </w:p>
    <w:tbl>
      <w:tblPr>
        <w:tblW w:w="935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400"/>
        <w:gridCol w:w="695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B5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Nome / Perfil</w:t>
            </w:r>
          </w:p>
        </w:tc>
        <w:tc>
          <w:tcPr>
            <w:tcW w:w="6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Maria Aparecida, 38 anos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B5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Ocupação</w:t>
            </w:r>
          </w:p>
        </w:tc>
        <w:tc>
          <w:tcPr>
            <w:tcW w:w="6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Cabeleireira autônoma (atende em domicílio)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B5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Situação bancária</w:t>
            </w:r>
          </w:p>
        </w:tc>
        <w:tc>
          <w:tcPr>
            <w:tcW w:w="6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Sem conta bancária formal; recebe em dinheiro/Pix por conta de terceiros; sem histórico em birôs de crédito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B5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Relação com a operadora</w:t>
            </w:r>
          </w:p>
        </w:tc>
        <w:tc>
          <w:tcPr>
            <w:tcW w:w="6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Cliente pré-pago da mesma operadora há 6 anos, com recargas mensais regulares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B5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6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Obter um microcrédito para comprar equipamentos (secador, prancha) e ampliar a renda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B5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Dor principal</w:t>
            </w:r>
          </w:p>
        </w:tc>
        <w:tc>
          <w:tcPr>
            <w:tcW w:w="6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É recusada em bancos tradicionais por falta de histórico de crédito, mesmo tendo renda e rotina financeira estáveis</w:t>
            </w:r>
          </w:p>
        </w:tc>
      </w:tr>
    </w:tbl>
    <w:p>
      <w:pPr>
        <w:pStyle w:val="Normal"/>
        <w:spacing w:before="200" w:after="0"/>
        <w:rPr/>
      </w:pPr>
      <w:r>
        <w:rPr>
          <w:b/>
          <w:bCs/>
          <w:color w:val="1F3B57"/>
          <w:sz w:val="30"/>
          <w:szCs w:val="30"/>
        </w:rPr>
        <w:softHyphen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2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iberation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oto Serif CJK SC" w:cs="Liberation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Liberation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Liberation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2</Pages>
  <Words>330</Words>
  <Characters>1935</Characters>
  <CharactersWithSpaces>2237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2026-09-22T11:55:46Z</dcterms:created>
  <dc:creator>Un-named</dc:creator>
  <dc:description/>
  <dc:language>en-US</dc:language>
  <cp:lastModifiedBy/>
  <dcterms:modified xsi:type="dcterms:W3CDTF">2026-09-22T21:21:21Z</dcterms:modified>
  <cp:revision>2</cp:revision>
  <dc:subject/>
  <dc:title/>
</cp:coreProperties>
</file>