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b/>
          <w:color w:val="1C1C1E"/>
          <w:sz w:val="72"/>
        </w:rPr>
        <w:t>VORES HJEM</w:t>
      </w:r>
    </w:p>
    <w:p>
      <w:pPr>
        <w:spacing w:after="120"/>
        <w:jc w:val="center"/>
      </w:pPr>
      <w:r>
        <w:rPr>
          <w:b/>
          <w:color w:val="7B3FE4"/>
          <w:sz w:val="44"/>
        </w:rPr>
        <w:t>Brand Guideline</w:t>
      </w:r>
    </w:p>
    <w:p>
      <w:pPr>
        <w:spacing w:after="40"/>
        <w:jc w:val="center"/>
      </w:pPr>
      <w:r>
        <w:rPr>
          <w:color w:val="9B97B5"/>
          <w:sz w:val="20"/>
        </w:rPr>
        <w:t>Version 1.0  ·  Maj 2026  ·  Fortroligt</w:t>
      </w:r>
    </w:p>
    <w:p>
      <w:pPr>
        <w:jc w:val="center"/>
      </w:pPr>
      <w:r>
        <w:rPr>
          <w:color w:val="C5C3D6"/>
          <w:sz w:val="18"/>
        </w:rPr>
        <w:t>© 2026 Vores Hjem I/S  ·  CVR 45804445</w:t>
      </w:r>
    </w:p>
    <w:p>
      <w:r>
        <w:br w:type="page"/>
      </w:r>
    </w:p>
    <w:p>
      <w:pPr>
        <w:spacing w:before="160" w:after="120"/>
      </w:pPr>
      <w:r>
        <w:rPr>
          <w:b/>
          <w:sz w:val="32"/>
        </w:rPr>
        <w:t>Indholdsfortegnelse</w:t>
      </w:r>
    </w:p>
    <w:p>
      <w:pPr>
        <w:pStyle w:val="ListBullet"/>
        <w:spacing w:before="60" w:after="60"/>
      </w:pPr>
      <w:r>
        <w:t>01  —  Logo</w:t>
      </w:r>
    </w:p>
    <w:p>
      <w:pPr>
        <w:pStyle w:val="ListBullet"/>
        <w:spacing w:before="60" w:after="60"/>
      </w:pPr>
      <w:r>
        <w:t>02  —  Farver</w:t>
      </w:r>
    </w:p>
    <w:p>
      <w:pPr>
        <w:pStyle w:val="ListBullet"/>
        <w:spacing w:before="60" w:after="60"/>
      </w:pPr>
      <w:r>
        <w:t>03  —  Typografi</w:t>
      </w:r>
    </w:p>
    <w:p>
      <w:pPr>
        <w:pStyle w:val="ListBullet"/>
        <w:spacing w:before="60" w:after="60"/>
      </w:pPr>
      <w:r>
        <w:t>04  —  Tone of Voice</w:t>
      </w:r>
    </w:p>
    <w:p>
      <w:pPr>
        <w:pStyle w:val="ListBullet"/>
        <w:spacing w:before="60" w:after="60"/>
      </w:pPr>
      <w:r>
        <w:t>05  —  Design elementer</w:t>
      </w:r>
    </w:p>
    <w:p>
      <w:pPr>
        <w:pStyle w:val="ListBullet"/>
        <w:spacing w:before="60" w:after="60"/>
      </w:pPr>
      <w:r>
        <w:t>06  —  Ikoner</w:t>
      </w:r>
    </w:p>
    <w:p>
      <w:r>
        <w:br w:type="page"/>
      </w:r>
    </w:p>
    <w:p>
      <w:pPr>
        <w:spacing w:before="280" w:after="80"/>
      </w:pPr>
      <w:r>
        <w:rPr>
          <w:b/>
          <w:color w:val="7B3FE4"/>
          <w:sz w:val="18"/>
        </w:rPr>
        <w:t>01 — LOGO</w:t>
      </w:r>
    </w:p>
    <w:p>
      <w:pPr>
        <w:spacing w:before="360" w:after="120"/>
      </w:pPr>
      <w:r>
        <w:rPr>
          <w:b/>
          <w:color w:val="1C1C1E"/>
          <w:sz w:val="56"/>
        </w:rPr>
        <w:t>Vores logo</w:t>
      </w:r>
    </w:p>
    <w:p>
      <w:pPr>
        <w:spacing w:before="40" w:after="80"/>
      </w:pPr>
      <w:r>
        <w:rPr>
          <w:b w:val="0"/>
          <w:i w:val="0"/>
          <w:sz w:val="22"/>
        </w:rPr>
        <w:t>Logoet består af to elementer: et hus-ikon tegnet med gradient-streg og ordmærket "VORES HJEM" i Montserrat Black. De to elementer bruges altid sammen og må ikke adskilles.</w:t>
      </w:r>
    </w:p>
    <w:p>
      <w:pPr>
        <w:spacing w:before="280" w:after="120"/>
      </w:pPr>
      <w:r>
        <w:rPr>
          <w:b/>
          <w:sz w:val="26"/>
        </w:rPr>
        <w:t>Logo-elementer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  <w:color w:val="7B3FE4"/>
              </w:rPr>
              <w:t>Element</w:t>
            </w:r>
          </w:p>
        </w:tc>
        <w:tc>
          <w:tcPr>
            <w:tcW w:type="dxa" w:w="4533"/>
          </w:tcPr>
          <w:p>
            <w:r>
              <w:rPr>
                <w:b/>
                <w:color w:val="7B3FE4"/>
              </w:rPr>
              <w:t>Specifikation</w:t>
            </w:r>
          </w:p>
        </w:tc>
      </w:tr>
      <w:tr>
        <w:tc>
          <w:tcPr>
            <w:tcW w:type="dxa" w:w="4533"/>
          </w:tcPr>
          <w:p>
            <w:r>
              <w:rPr>
                <w:b/>
              </w:rPr>
              <w:t>Hus-ikon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Gradient outline-streg — lilla → blå → pink → rød</w:t>
              <w:br/>
              <w:t>Skorsten placeret øverst til venstre</w:t>
              <w:br/>
              <w:t>Aldrig udfyldt (fill: none)</w:t>
            </w:r>
          </w:p>
        </w:tc>
      </w:tr>
      <w:tr>
        <w:tc>
          <w:tcPr>
            <w:tcW w:type="dxa" w:w="4533"/>
          </w:tcPr>
          <w:p>
            <w:r>
              <w:rPr>
                <w:b/>
              </w:rPr>
              <w:t>Ordmærke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"VORES HJEM" i to linjer</w:t>
              <w:br/>
              <w:t>Font: Montserrat Black (weight 900)</w:t>
              <w:br/>
              <w:t>Farve: #1C1C1E på lys baggrund / #FFFFFF på mørk</w:t>
            </w:r>
          </w:p>
        </w:tc>
      </w:tr>
    </w:tbl>
    <w:p>
      <w:pPr>
        <w:spacing w:before="160" w:after="160"/>
      </w:pPr>
      <w:r>
        <w:rPr>
          <w:color w:val="DDD8F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sz w:val="26"/>
        </w:rPr>
        <w:t>Brug af logoet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  <w:color w:val="10B981"/>
              </w:rPr>
              <w:t>✓  Korrekt brug</w:t>
            </w:r>
          </w:p>
        </w:tc>
        <w:tc>
          <w:tcPr>
            <w:tcW w:type="dxa" w:w="4533"/>
          </w:tcPr>
          <w:p>
            <w:r>
              <w:rPr>
                <w:b/>
                <w:color w:val="EF3030"/>
              </w:rPr>
              <w:t>✕  Må ikke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Brug på hvid/lys baggrund med gradient-ikon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Brug ikke ikonet alene uden ordmærket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Brug på mørk baggrund med gradient-ikon og hvid tekst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Skift ikke farven til éntone (fx helt lilla eller sort)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Bevar proportioner ved skalering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Stræk eller forvræng ikke logoet</w:t>
            </w:r>
          </w:p>
        </w:tc>
      </w:tr>
    </w:tbl>
    <w:p>
      <w:pPr>
        <w:spacing w:before="280" w:after="120"/>
      </w:pPr>
      <w:r>
        <w:rPr>
          <w:b/>
          <w:sz w:val="26"/>
        </w:rPr>
        <w:t>Minimum størrelse</w:t>
      </w:r>
    </w:p>
    <w:p>
      <w:pPr>
        <w:spacing w:before="40" w:after="80"/>
      </w:pPr>
      <w:r>
        <w:rPr>
          <w:b w:val="0"/>
          <w:i w:val="0"/>
          <w:sz w:val="22"/>
        </w:rPr>
        <w:t>Logo må ikke bruges mindre end 120px bredt digitalt / 30mm i print. Under denne grænse går detaljer i hus-ikonet tabt.</w:t>
      </w:r>
    </w:p>
    <w:p>
      <w:r>
        <w:br w:type="page"/>
      </w:r>
    </w:p>
    <w:p>
      <w:pPr>
        <w:spacing w:before="280" w:after="80"/>
      </w:pPr>
      <w:r>
        <w:rPr>
          <w:b/>
          <w:color w:val="7B3FE4"/>
          <w:sz w:val="18"/>
        </w:rPr>
        <w:t>02 — FARVER</w:t>
      </w:r>
    </w:p>
    <w:p>
      <w:pPr>
        <w:spacing w:before="360" w:after="120"/>
      </w:pPr>
      <w:r>
        <w:rPr>
          <w:b/>
          <w:color w:val="1C1C1E"/>
          <w:sz w:val="56"/>
        </w:rPr>
        <w:t>Farvepalette</w:t>
      </w:r>
    </w:p>
    <w:p>
      <w:pPr>
        <w:spacing w:before="40" w:after="80"/>
      </w:pPr>
      <w:r>
        <w:rPr>
          <w:b w:val="0"/>
          <w:i w:val="0"/>
          <w:sz w:val="22"/>
        </w:rPr>
        <w:t>Vores brand-gradient går fra lilla til blå til pink til rød. Farverne bruges i denne rækkefølge — aldrig omvendt og aldrig enkeltvis i UI-elementer der kræver gradienten.</w:t>
      </w:r>
    </w:p>
    <w:p>
      <w:pPr>
        <w:spacing w:before="280" w:after="120"/>
      </w:pPr>
      <w:r>
        <w:rPr>
          <w:b/>
          <w:sz w:val="26"/>
        </w:rPr>
        <w:t>Primære farver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r>
              <w:rPr>
                <w:b/>
                <w:color w:val="7B3FE4"/>
              </w:rPr>
              <w:t>Farve</w:t>
            </w:r>
          </w:p>
        </w:tc>
        <w:tc>
          <w:tcPr>
            <w:tcW w:type="dxa" w:w="1813"/>
          </w:tcPr>
          <w:p>
            <w:r>
              <w:rPr>
                <w:b/>
                <w:color w:val="7B3FE4"/>
              </w:rPr>
              <w:t>Navn</w:t>
            </w:r>
          </w:p>
        </w:tc>
        <w:tc>
          <w:tcPr>
            <w:tcW w:type="dxa" w:w="1813"/>
          </w:tcPr>
          <w:p>
            <w:r>
              <w:rPr>
                <w:b/>
                <w:color w:val="7B3FE4"/>
              </w:rPr>
              <w:t>HEX</w:t>
            </w:r>
          </w:p>
        </w:tc>
        <w:tc>
          <w:tcPr>
            <w:tcW w:type="dxa" w:w="1813"/>
          </w:tcPr>
          <w:p>
            <w:r>
              <w:rPr>
                <w:b/>
                <w:color w:val="7B3FE4"/>
              </w:rPr>
              <w:t>RGB</w:t>
            </w:r>
          </w:p>
        </w:tc>
        <w:tc>
          <w:tcPr>
            <w:tcW w:type="dxa" w:w="1813"/>
          </w:tcPr>
          <w:p>
            <w:r>
              <w:rPr>
                <w:b/>
                <w:color w:val="7B3FE4"/>
              </w:rPr>
              <w:t>Brug</w:t>
            </w:r>
          </w:p>
        </w:tc>
      </w:tr>
      <w:tr>
        <w:tc>
          <w:tcPr>
            <w:tcW w:type="dxa" w:w="1813"/>
            <w:shd w:val="clear" w:color="auto" w:fill="7B3FE4"/>
          </w:tcPr>
          <w:p>
            <w:r>
              <w:t xml:space="preserve">   </w:t>
            </w:r>
          </w:p>
        </w:tc>
        <w:tc>
          <w:tcPr>
            <w:tcW w:type="dxa" w:w="1813"/>
          </w:tcPr>
          <w:p>
            <w:r>
              <w:rPr>
                <w:b/>
              </w:rPr>
              <w:t>Lilla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</w:rPr>
              <w:t>#7B3FE4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  <w:sz w:val="18"/>
              </w:rPr>
              <w:t>rgb(123, 63, 228)</w:t>
            </w:r>
          </w:p>
        </w:tc>
        <w:tc>
          <w:tcPr>
            <w:tcW w:type="dxa" w:w="1813"/>
          </w:tcPr>
          <w:p>
            <w:r>
              <w:rPr>
                <w:color w:val="9B97B5"/>
                <w:sz w:val="18"/>
              </w:rPr>
              <w:t>Primær – start gradient</w:t>
            </w:r>
          </w:p>
        </w:tc>
      </w:tr>
      <w:tr>
        <w:tc>
          <w:tcPr>
            <w:tcW w:type="dxa" w:w="1813"/>
            <w:shd w:val="clear" w:color="auto" w:fill="4F6BFF"/>
          </w:tcPr>
          <w:p>
            <w:r>
              <w:t xml:space="preserve">   </w:t>
            </w:r>
          </w:p>
        </w:tc>
        <w:tc>
          <w:tcPr>
            <w:tcW w:type="dxa" w:w="1813"/>
          </w:tcPr>
          <w:p>
            <w:r>
              <w:rPr>
                <w:b/>
              </w:rPr>
              <w:t>Blå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</w:rPr>
              <w:t>#4F6BFF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  <w:sz w:val="18"/>
              </w:rPr>
              <w:t>rgb(79, 107, 255)</w:t>
            </w:r>
          </w:p>
        </w:tc>
        <w:tc>
          <w:tcPr>
            <w:tcW w:type="dxa" w:w="1813"/>
          </w:tcPr>
          <w:p>
            <w:r>
              <w:rPr>
                <w:color w:val="9B97B5"/>
                <w:sz w:val="18"/>
              </w:rPr>
              <w:t>Sekundær – midt gradient</w:t>
            </w:r>
          </w:p>
        </w:tc>
      </w:tr>
      <w:tr>
        <w:tc>
          <w:tcPr>
            <w:tcW w:type="dxa" w:w="1813"/>
            <w:shd w:val="clear" w:color="auto" w:fill="D93BAA"/>
          </w:tcPr>
          <w:p>
            <w:r>
              <w:t xml:space="preserve">   </w:t>
            </w:r>
          </w:p>
        </w:tc>
        <w:tc>
          <w:tcPr>
            <w:tcW w:type="dxa" w:w="1813"/>
          </w:tcPr>
          <w:p>
            <w:r>
              <w:rPr>
                <w:b/>
              </w:rPr>
              <w:t>Pink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</w:rPr>
              <w:t>#D93BAA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  <w:sz w:val="18"/>
              </w:rPr>
              <w:t>rgb(217, 59, 170)</w:t>
            </w:r>
          </w:p>
        </w:tc>
        <w:tc>
          <w:tcPr>
            <w:tcW w:type="dxa" w:w="1813"/>
          </w:tcPr>
          <w:p>
            <w:r>
              <w:rPr>
                <w:color w:val="9B97B5"/>
                <w:sz w:val="18"/>
              </w:rPr>
              <w:t>Tertiær – midt-slut gradient</w:t>
            </w:r>
          </w:p>
        </w:tc>
      </w:tr>
      <w:tr>
        <w:tc>
          <w:tcPr>
            <w:tcW w:type="dxa" w:w="1813"/>
            <w:shd w:val="clear" w:color="auto" w:fill="EF3030"/>
          </w:tcPr>
          <w:p>
            <w:r>
              <w:t xml:space="preserve">   </w:t>
            </w:r>
          </w:p>
        </w:tc>
        <w:tc>
          <w:tcPr>
            <w:tcW w:type="dxa" w:w="1813"/>
          </w:tcPr>
          <w:p>
            <w:r>
              <w:rPr>
                <w:b/>
              </w:rPr>
              <w:t>Rød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</w:rPr>
              <w:t>#EF3030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  <w:sz w:val="18"/>
              </w:rPr>
              <w:t>rgb(239, 48, 48)</w:t>
            </w:r>
          </w:p>
        </w:tc>
        <w:tc>
          <w:tcPr>
            <w:tcW w:type="dxa" w:w="1813"/>
          </w:tcPr>
          <w:p>
            <w:r>
              <w:rPr>
                <w:color w:val="9B97B5"/>
                <w:sz w:val="18"/>
              </w:rPr>
              <w:t>Slut gradient / accent</w:t>
            </w:r>
          </w:p>
        </w:tc>
      </w:tr>
      <w:tr>
        <w:tc>
          <w:tcPr>
            <w:tcW w:type="dxa" w:w="1813"/>
            <w:shd w:val="clear" w:color="auto" w:fill="1C1C1E"/>
          </w:tcPr>
          <w:p>
            <w:r>
              <w:t xml:space="preserve">   </w:t>
            </w:r>
          </w:p>
        </w:tc>
        <w:tc>
          <w:tcPr>
            <w:tcW w:type="dxa" w:w="1813"/>
          </w:tcPr>
          <w:p>
            <w:r>
              <w:rPr>
                <w:b/>
              </w:rPr>
              <w:t>Sort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</w:rPr>
              <w:t>#1C1C1E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  <w:sz w:val="18"/>
              </w:rPr>
              <w:t>rgb(28, 28, 30)</w:t>
            </w:r>
          </w:p>
        </w:tc>
        <w:tc>
          <w:tcPr>
            <w:tcW w:type="dxa" w:w="1813"/>
          </w:tcPr>
          <w:p>
            <w:r>
              <w:rPr>
                <w:color w:val="9B97B5"/>
                <w:sz w:val="18"/>
              </w:rPr>
              <w:t>Tekst – primær</w:t>
            </w:r>
          </w:p>
        </w:tc>
      </w:tr>
    </w:tbl>
    <w:p>
      <w:pPr>
        <w:spacing w:before="280" w:after="120"/>
      </w:pPr>
      <w:r>
        <w:rPr>
          <w:b/>
          <w:sz w:val="26"/>
        </w:rPr>
        <w:t>Sekundære farver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r>
              <w:rPr>
                <w:b/>
                <w:color w:val="7B3FE4"/>
              </w:rPr>
              <w:t>Farve</w:t>
            </w:r>
          </w:p>
        </w:tc>
        <w:tc>
          <w:tcPr>
            <w:tcW w:type="dxa" w:w="1813"/>
          </w:tcPr>
          <w:p>
            <w:r>
              <w:rPr>
                <w:b/>
                <w:color w:val="7B3FE4"/>
              </w:rPr>
              <w:t>Navn</w:t>
            </w:r>
          </w:p>
        </w:tc>
        <w:tc>
          <w:tcPr>
            <w:tcW w:type="dxa" w:w="1813"/>
          </w:tcPr>
          <w:p>
            <w:r>
              <w:rPr>
                <w:b/>
                <w:color w:val="7B3FE4"/>
              </w:rPr>
              <w:t>HEX</w:t>
            </w:r>
          </w:p>
        </w:tc>
        <w:tc>
          <w:tcPr>
            <w:tcW w:type="dxa" w:w="1813"/>
          </w:tcPr>
          <w:p>
            <w:r>
              <w:rPr>
                <w:b/>
                <w:color w:val="7B3FE4"/>
              </w:rPr>
              <w:t>RGB</w:t>
            </w:r>
          </w:p>
        </w:tc>
        <w:tc>
          <w:tcPr>
            <w:tcW w:type="dxa" w:w="1813"/>
          </w:tcPr>
          <w:p>
            <w:r>
              <w:rPr>
                <w:b/>
                <w:color w:val="7B3FE4"/>
              </w:rPr>
              <w:t>Brug</w:t>
            </w:r>
          </w:p>
        </w:tc>
      </w:tr>
      <w:tr>
        <w:tc>
          <w:tcPr>
            <w:tcW w:type="dxa" w:w="1813"/>
            <w:shd w:val="clear" w:color="auto" w:fill="F8F7FF"/>
          </w:tcPr>
          <w:p>
            <w:r>
              <w:t xml:space="preserve">   </w:t>
            </w:r>
          </w:p>
        </w:tc>
        <w:tc>
          <w:tcPr>
            <w:tcW w:type="dxa" w:w="1813"/>
          </w:tcPr>
          <w:p>
            <w:r>
              <w:rPr>
                <w:b/>
              </w:rPr>
              <w:t>Baggrund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</w:rPr>
              <w:t>#F8F7FF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  <w:sz w:val="18"/>
              </w:rPr>
              <w:t>rgb(248, 247, 255)</w:t>
            </w:r>
          </w:p>
        </w:tc>
        <w:tc>
          <w:tcPr>
            <w:tcW w:type="dxa" w:w="1813"/>
          </w:tcPr>
          <w:p>
            <w:r>
              <w:rPr>
                <w:color w:val="9B97B5"/>
                <w:sz w:val="18"/>
              </w:rPr>
              <w:t>Side-baggrund lys</w:t>
            </w:r>
          </w:p>
        </w:tc>
      </w:tr>
      <w:tr>
        <w:tc>
          <w:tcPr>
            <w:tcW w:type="dxa" w:w="1813"/>
            <w:shd w:val="clear" w:color="auto" w:fill="5E5A7A"/>
          </w:tcPr>
          <w:p>
            <w:r>
              <w:t xml:space="preserve">   </w:t>
            </w:r>
          </w:p>
        </w:tc>
        <w:tc>
          <w:tcPr>
            <w:tcW w:type="dxa" w:w="1813"/>
          </w:tcPr>
          <w:p>
            <w:r>
              <w:rPr>
                <w:b/>
              </w:rPr>
              <w:t>Tekst grå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</w:rPr>
              <w:t>#5E5A7A</w:t>
            </w:r>
          </w:p>
        </w:tc>
        <w:tc>
          <w:tcPr>
            <w:tcW w:type="dxa" w:w="1813"/>
          </w:tcPr>
          <w:p>
            <w:r>
              <w:rPr>
                <w:rFonts w:ascii="Courier New" w:hAnsi="Courier New"/>
                <w:sz w:val="18"/>
              </w:rPr>
              <w:t>rgb(94, 90, 122)</w:t>
            </w:r>
          </w:p>
        </w:tc>
        <w:tc>
          <w:tcPr>
            <w:tcW w:type="dxa" w:w="1813"/>
          </w:tcPr>
          <w:p>
            <w:r>
              <w:rPr>
                <w:color w:val="9B97B5"/>
                <w:sz w:val="18"/>
              </w:rPr>
              <w:t>Brødtekst / sekundær tekst</w:t>
            </w:r>
          </w:p>
        </w:tc>
      </w:tr>
    </w:tbl>
    <w:p>
      <w:pPr>
        <w:spacing w:before="280" w:after="120"/>
      </w:pPr>
      <w:r>
        <w:rPr>
          <w:b/>
          <w:sz w:val="26"/>
        </w:rPr>
        <w:t>Logo-gradient</w:t>
      </w:r>
    </w:p>
    <w:p>
      <w:pPr>
        <w:spacing w:before="40" w:after="80"/>
      </w:pPr>
      <w:r>
        <w:rPr>
          <w:b/>
          <w:i w:val="0"/>
          <w:sz w:val="20"/>
        </w:rPr>
        <w:t>CSS:  linear-gradient(135deg, #7B3FE4 0%, #4F6BFF 30%, #D93BAA 65%, #EF3030 100%)</w:t>
      </w:r>
    </w:p>
    <w:p>
      <w:pPr>
        <w:spacing w:before="40" w:after="80"/>
      </w:pPr>
      <w:r>
        <w:rPr>
          <w:b w:val="0"/>
          <w:i w:val="0"/>
          <w:sz w:val="22"/>
        </w:rPr>
        <w:t>Gradienten bruges på: logo-ikon, CTA-knapper, accent-elementer og badges.</w:t>
      </w:r>
    </w:p>
    <w:p>
      <w:r>
        <w:br w:type="page"/>
      </w:r>
    </w:p>
    <w:p>
      <w:pPr>
        <w:spacing w:before="280" w:after="80"/>
      </w:pPr>
      <w:r>
        <w:rPr>
          <w:b/>
          <w:color w:val="7B3FE4"/>
          <w:sz w:val="18"/>
        </w:rPr>
        <w:t>03 — TYPOGRAFI</w:t>
      </w:r>
    </w:p>
    <w:p>
      <w:pPr>
        <w:spacing w:before="360" w:after="120"/>
      </w:pPr>
      <w:r>
        <w:rPr>
          <w:b/>
          <w:color w:val="1C1C1E"/>
          <w:sz w:val="56"/>
        </w:rPr>
        <w:t>To skriftsnit</w:t>
      </w:r>
    </w:p>
    <w:p>
      <w:pPr>
        <w:spacing w:before="40" w:after="80"/>
      </w:pPr>
      <w:r>
        <w:rPr>
          <w:b w:val="0"/>
          <w:i w:val="0"/>
          <w:sz w:val="22"/>
        </w:rPr>
        <w:t>Vi bruger to fonte: Montserrat Black (kun til logo) og Plus Jakarta Sans (til alt andet).</w:t>
      </w:r>
    </w:p>
    <w:p>
      <w:pPr>
        <w:spacing w:before="280" w:after="120"/>
      </w:pPr>
      <w:r>
        <w:rPr>
          <w:b/>
          <w:sz w:val="26"/>
        </w:rPr>
        <w:t>Montserrat Black — Logo</w:t>
      </w:r>
    </w:p>
    <w:p>
      <w:pPr>
        <w:spacing w:before="40" w:after="80"/>
      </w:pPr>
      <w:r>
        <w:rPr>
          <w:b w:val="0"/>
          <w:i w:val="0"/>
          <w:sz w:val="22"/>
        </w:rPr>
        <w:t>Bruges udelukkende i logo-ordmærket "VORES HJEM". Aldrig i brødtekst, overskrifter eller UI.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Egenskab</w:t>
            </w:r>
          </w:p>
        </w:tc>
        <w:tc>
          <w:tcPr>
            <w:tcW w:type="dxa" w:w="3022"/>
          </w:tcPr>
          <w:p>
            <w:r>
              <w:rPr>
                <w:b/>
              </w:rPr>
              <w:t>Værdi</w:t>
            </w:r>
          </w:p>
        </w:tc>
        <w:tc>
          <w:tcPr>
            <w:tcW w:type="dxa" w:w="3022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3022"/>
          </w:tcPr>
          <w:p>
            <w:r>
              <w:t>Font</w:t>
            </w:r>
          </w:p>
        </w:tc>
        <w:tc>
          <w:tcPr>
            <w:tcW w:type="dxa" w:w="3022"/>
          </w:tcPr>
          <w:p>
            <w:r>
              <w:t>Montserrat Black (weight 900)</w:t>
            </w:r>
          </w:p>
        </w:tc>
        <w:tc>
          <w:tcPr>
            <w:tcW w:type="dxa" w:w="3022"/>
          </w:tcPr>
          <w:p>
            <w:r>
              <w:t>Google Fonts — gratis</w:t>
            </w:r>
          </w:p>
        </w:tc>
      </w:tr>
    </w:tbl>
    <w:p>
      <w:pPr>
        <w:spacing w:before="280" w:after="120"/>
      </w:pPr>
      <w:r>
        <w:rPr>
          <w:b/>
          <w:sz w:val="26"/>
        </w:rPr>
        <w:t>Plus Jakarta Sans — Alt andet</w:t>
      </w:r>
    </w:p>
    <w:p>
      <w:pPr>
        <w:spacing w:before="40" w:after="80"/>
      </w:pPr>
      <w:r>
        <w:rPr>
          <w:b w:val="0"/>
          <w:i w:val="0"/>
          <w:sz w:val="22"/>
        </w:rPr>
        <w:t>Bruges på hjemmesiden, i app'en, i nyhedsbreve og al kommunikation.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b/>
                <w:color w:val="7B3FE4"/>
              </w:rPr>
              <w:t>Navn</w:t>
            </w:r>
          </w:p>
        </w:tc>
        <w:tc>
          <w:tcPr>
            <w:tcW w:type="dxa" w:w="2266"/>
          </w:tcPr>
          <w:p>
            <w:r>
              <w:rPr>
                <w:b/>
                <w:color w:val="7B3FE4"/>
              </w:rPr>
              <w:t>Størrelse</w:t>
            </w:r>
          </w:p>
        </w:tc>
        <w:tc>
          <w:tcPr>
            <w:tcW w:type="dxa" w:w="2266"/>
          </w:tcPr>
          <w:p>
            <w:r>
              <w:rPr>
                <w:b/>
                <w:color w:val="7B3FE4"/>
              </w:rPr>
              <w:t>Vægt</w:t>
            </w:r>
          </w:p>
        </w:tc>
        <w:tc>
          <w:tcPr>
            <w:tcW w:type="dxa" w:w="2266"/>
          </w:tcPr>
          <w:p>
            <w:r>
              <w:rPr>
                <w:b/>
                <w:color w:val="7B3FE4"/>
              </w:rPr>
              <w:t>Brug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Display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72px / 54pt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900 ExtraBold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Hero-overskrift, forsidevisning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H1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48px / 36pt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800 ExtraBold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Sektions-overskrift, primær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H2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32px / 24pt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800 ExtraBold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Under-overskrift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H3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20px / 15pt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700 Bold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Kort-titel, feature-navn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Body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16px / 12pt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400 Regular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Brødtekst, beskrivelser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Label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12px / 9pt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700 Bold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Badges, tags, uppercase-etiketter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7B3FE4"/>
          <w:sz w:val="18"/>
        </w:rPr>
        <w:t>04 — TONE OF VOICE</w:t>
      </w:r>
    </w:p>
    <w:p>
      <w:pPr>
        <w:spacing w:before="360" w:after="120"/>
      </w:pPr>
      <w:r>
        <w:rPr>
          <w:b/>
          <w:color w:val="1C1C1E"/>
          <w:sz w:val="56"/>
        </w:rPr>
        <w:t>Sådan taler vi</w:t>
      </w:r>
    </w:p>
    <w:p>
      <w:pPr>
        <w:spacing w:before="40" w:after="80"/>
      </w:pPr>
      <w:r>
        <w:rPr>
          <w:b w:val="0"/>
          <w:i w:val="0"/>
          <w:sz w:val="22"/>
        </w:rPr>
        <w:t>Vores Hjem taler til travle forældre og familier. Vi er direkte, varme og konkrete — aldrig salgsorienterede, stive eller overforklarende.</w:t>
      </w:r>
    </w:p>
    <w:p>
      <w:pPr>
        <w:spacing w:before="280" w:after="120"/>
      </w:pPr>
      <w:r>
        <w:rPr>
          <w:b/>
          <w:sz w:val="26"/>
        </w:rPr>
        <w:t>Brandets personlighed</w:t>
      </w:r>
    </w:p>
    <w:p>
      <w:pPr>
        <w:spacing w:before="80" w:after="40"/>
      </w:pPr>
      <w:r>
        <w:rPr>
          <w:b/>
          <w:color w:val="7B3FE4"/>
        </w:rPr>
        <w:t xml:space="preserve">Nærværende:  </w:t>
      </w:r>
      <w:r>
        <w:rPr>
          <w:sz w:val="22"/>
        </w:rPr>
        <w:t>Vi taler som en ven der forstår hverdagen — ikke som et firma der sælger noget.</w:t>
      </w:r>
    </w:p>
    <w:p>
      <w:pPr>
        <w:spacing w:before="80" w:after="40"/>
      </w:pPr>
      <w:r>
        <w:rPr>
          <w:b/>
          <w:color w:val="7B3FE4"/>
        </w:rPr>
        <w:t xml:space="preserve">Direkte:  </w:t>
      </w:r>
      <w:r>
        <w:rPr>
          <w:sz w:val="22"/>
        </w:rPr>
        <w:t>Korte sætninger. Ingen fyld. Vi kommer hurtigt til sagen og respekterer læserens tid.</w:t>
      </w:r>
    </w:p>
    <w:p>
      <w:pPr>
        <w:spacing w:before="80" w:after="40"/>
      </w:pPr>
      <w:r>
        <w:rPr>
          <w:b/>
          <w:color w:val="7B3FE4"/>
        </w:rPr>
        <w:t xml:space="preserve">Dansk:  </w:t>
      </w:r>
      <w:r>
        <w:rPr>
          <w:sz w:val="22"/>
        </w:rPr>
        <w:t>Vi skriver dansk — ikke oversat engelsk. Ord som "hverdag", "husstand" og "overblik" er vores.</w:t>
      </w:r>
    </w:p>
    <w:p>
      <w:pPr>
        <w:spacing w:before="80" w:after="40"/>
      </w:pPr>
      <w:r>
        <w:rPr>
          <w:b/>
          <w:color w:val="7B3FE4"/>
        </w:rPr>
        <w:t xml:space="preserve">Ærlig:  </w:t>
      </w:r>
      <w:r>
        <w:rPr>
          <w:sz w:val="22"/>
        </w:rPr>
        <w:t>Vi lover kun det vi kan holde. Ingen superlativer som "verdens bedste" eller "unikke løsning".</w:t>
      </w:r>
    </w:p>
    <w:p>
      <w:pPr>
        <w:spacing w:before="280" w:after="120"/>
      </w:pPr>
      <w:r>
        <w:rPr>
          <w:b/>
          <w:sz w:val="26"/>
        </w:rPr>
        <w:t>Gør og gør ikke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  <w:color w:val="10B981"/>
              </w:rPr>
              <w:t>✓  Sig dette</w:t>
            </w:r>
          </w:p>
        </w:tc>
        <w:tc>
          <w:tcPr>
            <w:tcW w:type="dxa" w:w="4533"/>
          </w:tcPr>
          <w:p>
            <w:r>
              <w:rPr>
                <w:b/>
                <w:color w:val="EF3030"/>
              </w:rPr>
              <w:t>✕  Undgå dette</w:t>
            </w:r>
          </w:p>
        </w:tc>
      </w:tr>
      <w:tr>
        <w:tc>
          <w:tcPr>
            <w:tcW w:type="dxa" w:w="4533"/>
          </w:tcPr>
          <w:p>
            <w:r>
              <w:rPr>
                <w:i/>
                <w:sz w:val="20"/>
              </w:rPr>
              <w:t>"Slip for hverdagskaoset — alt samlet ét sted."</w:t>
            </w:r>
          </w:p>
        </w:tc>
        <w:tc>
          <w:tcPr>
            <w:tcW w:type="dxa" w:w="4533"/>
          </w:tcPr>
          <w:p>
            <w:r>
              <w:rPr>
                <w:i/>
                <w:sz w:val="20"/>
              </w:rPr>
              <w:t>"En avanceret platform til effektiv familiekoordinering."</w:t>
            </w:r>
          </w:p>
        </w:tc>
      </w:tr>
      <w:tr>
        <w:tc>
          <w:tcPr>
            <w:tcW w:type="dxa" w:w="4533"/>
          </w:tcPr>
          <w:p>
            <w:r>
              <w:rPr>
                <w:i/>
                <w:sz w:val="20"/>
              </w:rPr>
              <w:t>"Prøv gratis i 14 dage — ingen binding."</w:t>
            </w:r>
          </w:p>
        </w:tc>
        <w:tc>
          <w:tcPr>
            <w:tcW w:type="dxa" w:w="4533"/>
          </w:tcPr>
          <w:p>
            <w:r>
              <w:rPr>
                <w:i/>
                <w:sz w:val="20"/>
              </w:rPr>
              <w:t>"Oplev vores unikke og innovative familieløsning i dag!"</w:t>
            </w:r>
          </w:p>
        </w:tc>
      </w:tr>
      <w:tr>
        <w:tc>
          <w:tcPr>
            <w:tcW w:type="dxa" w:w="4533"/>
          </w:tcPr>
          <w:p>
            <w:r>
              <w:rPr>
                <w:i/>
                <w:sz w:val="20"/>
              </w:rPr>
              <w:t>"Hvem henter i dag? Det ved alle nu."</w:t>
            </w:r>
          </w:p>
        </w:tc>
        <w:tc>
          <w:tcPr>
            <w:tcW w:type="dxa" w:w="4533"/>
          </w:tcPr>
          <w:p>
            <w:r>
              <w:rPr>
                <w:i/>
                <w:sz w:val="20"/>
              </w:rPr>
              <w:t>"Vores AI-drevne system optimerer din families workflow."</w:t>
            </w:r>
          </w:p>
        </w:tc>
      </w:tr>
      <w:tr>
        <w:tc>
          <w:tcPr>
            <w:tcW w:type="dxa" w:w="4533"/>
          </w:tcPr>
          <w:p>
            <w:r>
              <w:rPr>
                <w:i/>
                <w:sz w:val="20"/>
              </w:rPr>
              <w:t>"39 kr/md. Op til 7 personer."</w:t>
            </w:r>
          </w:p>
        </w:tc>
        <w:tc>
          <w:tcPr>
            <w:tcW w:type="dxa" w:w="4533"/>
          </w:tcPr>
          <w:p>
            <w:r>
              <w:rPr>
                <w:i/>
                <w:sz w:val="20"/>
              </w:rPr>
              <w:t>"Til en overkommelig månedlig pris kan hele din husstand..."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7B3FE4"/>
          <w:sz w:val="18"/>
        </w:rPr>
        <w:t>05 — DESIGN ELEMENTER</w:t>
      </w:r>
    </w:p>
    <w:p>
      <w:pPr>
        <w:spacing w:before="360" w:after="120"/>
      </w:pPr>
      <w:r>
        <w:rPr>
          <w:b/>
          <w:color w:val="1C1C1E"/>
          <w:sz w:val="56"/>
        </w:rPr>
        <w:t>Hjørneradius &amp; skygger</w:t>
      </w:r>
    </w:p>
    <w:p>
      <w:pPr>
        <w:spacing w:before="40" w:after="80"/>
      </w:pPr>
      <w:r>
        <w:rPr>
          <w:b w:val="0"/>
          <w:i w:val="0"/>
          <w:sz w:val="22"/>
        </w:rPr>
        <w:t>Vi bruger bløde, afrundede hjørner og subtile lilla-tonede skygger for at skabe et moderne og venligt udtryk.</w:t>
      </w:r>
    </w:p>
    <w:p>
      <w:pPr>
        <w:spacing w:before="280" w:after="120"/>
      </w:pPr>
      <w:r>
        <w:rPr>
          <w:b/>
          <w:sz w:val="26"/>
        </w:rPr>
        <w:t>Hjørneradius-system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color w:val="7B3FE4"/>
              </w:rPr>
              <w:t>Størrelse</w:t>
            </w:r>
          </w:p>
        </w:tc>
        <w:tc>
          <w:tcPr>
            <w:tcW w:type="dxa" w:w="3022"/>
          </w:tcPr>
          <w:p>
            <w:r>
              <w:rPr>
                <w:b/>
                <w:color w:val="7B3FE4"/>
              </w:rPr>
              <w:t>Værdi</w:t>
            </w:r>
          </w:p>
        </w:tc>
        <w:tc>
          <w:tcPr>
            <w:tcW w:type="dxa" w:w="3022"/>
          </w:tcPr>
          <w:p>
            <w:r>
              <w:rPr>
                <w:b/>
                <w:color w:val="7B3FE4"/>
              </w:rPr>
              <w:t>Bruges til</w:t>
            </w:r>
          </w:p>
        </w:tc>
      </w:tr>
      <w:tr>
        <w:tc>
          <w:tcPr>
            <w:tcW w:type="dxa" w:w="3022"/>
          </w:tcPr>
          <w:p>
            <w:r>
              <w:rPr>
                <w:b/>
              </w:rPr>
              <w:t>XS</w:t>
            </w:r>
          </w:p>
        </w:tc>
        <w:tc>
          <w:tcPr>
            <w:tcW w:type="dxa" w:w="3022"/>
          </w:tcPr>
          <w:p>
            <w:r>
              <w:rPr>
                <w:rFonts w:ascii="Courier New" w:hAnsi="Courier New"/>
                <w:sz w:val="20"/>
              </w:rPr>
              <w:t>border-radius: 4px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Badges, små tags</w:t>
            </w:r>
          </w:p>
        </w:tc>
      </w:tr>
      <w:tr>
        <w:tc>
          <w:tcPr>
            <w:tcW w:type="dxa" w:w="3022"/>
          </w:tcPr>
          <w:p>
            <w:r>
              <w:rPr>
                <w:b/>
              </w:rPr>
              <w:t>S</w:t>
            </w:r>
          </w:p>
        </w:tc>
        <w:tc>
          <w:tcPr>
            <w:tcW w:type="dxa" w:w="3022"/>
          </w:tcPr>
          <w:p>
            <w:r>
              <w:rPr>
                <w:rFonts w:ascii="Courier New" w:hAnsi="Courier New"/>
                <w:sz w:val="20"/>
              </w:rPr>
              <w:t>border-radius: 8px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Knapper, input-felter</w:t>
            </w:r>
          </w:p>
        </w:tc>
      </w:tr>
      <w:tr>
        <w:tc>
          <w:tcPr>
            <w:tcW w:type="dxa" w:w="3022"/>
          </w:tcPr>
          <w:p>
            <w:r>
              <w:rPr>
                <w:b/>
              </w:rPr>
              <w:t>M</w:t>
            </w:r>
          </w:p>
        </w:tc>
        <w:tc>
          <w:tcPr>
            <w:tcW w:type="dxa" w:w="3022"/>
          </w:tcPr>
          <w:p>
            <w:r>
              <w:rPr>
                <w:rFonts w:ascii="Courier New" w:hAnsi="Courier New"/>
                <w:sz w:val="20"/>
              </w:rPr>
              <w:t>border-radius: 16px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Kort, modaler, feature-bokse</w:t>
            </w:r>
          </w:p>
        </w:tc>
      </w:tr>
      <w:tr>
        <w:tc>
          <w:tcPr>
            <w:tcW w:type="dxa" w:w="3022"/>
          </w:tcPr>
          <w:p>
            <w:r>
              <w:rPr>
                <w:b/>
              </w:rPr>
              <w:t>L</w:t>
            </w:r>
          </w:p>
        </w:tc>
        <w:tc>
          <w:tcPr>
            <w:tcW w:type="dxa" w:w="3022"/>
          </w:tcPr>
          <w:p>
            <w:r>
              <w:rPr>
                <w:rFonts w:ascii="Courier New" w:hAnsi="Courier New"/>
                <w:sz w:val="20"/>
              </w:rPr>
              <w:t>border-radius: 24px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Store sektioner, hero-elementer</w:t>
            </w:r>
          </w:p>
        </w:tc>
      </w:tr>
    </w:tbl>
    <w:p>
      <w:pPr>
        <w:spacing w:before="280" w:after="120"/>
      </w:pPr>
      <w:r>
        <w:rPr>
          <w:b/>
          <w:sz w:val="26"/>
        </w:rPr>
        <w:t>Skygge-system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color w:val="7B3FE4"/>
              </w:rPr>
              <w:t>Navn</w:t>
            </w:r>
          </w:p>
        </w:tc>
        <w:tc>
          <w:tcPr>
            <w:tcW w:type="dxa" w:w="3022"/>
          </w:tcPr>
          <w:p>
            <w:r>
              <w:rPr>
                <w:b/>
                <w:color w:val="7B3FE4"/>
              </w:rPr>
              <w:t>CSS-værdi</w:t>
            </w:r>
          </w:p>
        </w:tc>
        <w:tc>
          <w:tcPr>
            <w:tcW w:type="dxa" w:w="3022"/>
          </w:tcPr>
          <w:p>
            <w:r>
              <w:rPr>
                <w:b/>
                <w:color w:val="7B3FE4"/>
              </w:rPr>
              <w:t>Bruges til</w:t>
            </w:r>
          </w:p>
        </w:tc>
      </w:tr>
      <w:tr>
        <w:tc>
          <w:tcPr>
            <w:tcW w:type="dxa" w:w="3022"/>
          </w:tcPr>
          <w:p>
            <w:r>
              <w:rPr>
                <w:b/>
              </w:rPr>
              <w:t>Subtil</w:t>
            </w:r>
          </w:p>
        </w:tc>
        <w:tc>
          <w:tcPr>
            <w:tcW w:type="dxa" w:w="3022"/>
          </w:tcPr>
          <w:p>
            <w:r>
              <w:rPr>
                <w:rFonts w:ascii="Courier New" w:hAnsi="Courier New"/>
                <w:sz w:val="18"/>
              </w:rPr>
              <w:t>0 2px 8px rgba(0,0,0,0.06)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Kort, informationsbokse</w:t>
            </w:r>
          </w:p>
        </w:tc>
      </w:tr>
      <w:tr>
        <w:tc>
          <w:tcPr>
            <w:tcW w:type="dxa" w:w="3022"/>
          </w:tcPr>
          <w:p>
            <w:r>
              <w:rPr>
                <w:b/>
              </w:rPr>
              <w:t>Primær</w:t>
            </w:r>
          </w:p>
        </w:tc>
        <w:tc>
          <w:tcPr>
            <w:tcW w:type="dxa" w:w="3022"/>
          </w:tcPr>
          <w:p>
            <w:r>
              <w:rPr>
                <w:rFonts w:ascii="Courier New" w:hAnsi="Courier New"/>
                <w:sz w:val="18"/>
              </w:rPr>
              <w:t>0 8px 30px rgba(108,71,255,0.12)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Feature-kort, navigations-elementer</w:t>
            </w:r>
          </w:p>
        </w:tc>
      </w:tr>
      <w:tr>
        <w:tc>
          <w:tcPr>
            <w:tcW w:type="dxa" w:w="3022"/>
          </w:tcPr>
          <w:p>
            <w:r>
              <w:rPr>
                <w:b/>
              </w:rPr>
              <w:t>CTA</w:t>
            </w:r>
          </w:p>
        </w:tc>
        <w:tc>
          <w:tcPr>
            <w:tcW w:type="dxa" w:w="3022"/>
          </w:tcPr>
          <w:p>
            <w:r>
              <w:rPr>
                <w:rFonts w:ascii="Courier New" w:hAnsi="Courier New"/>
                <w:sz w:val="18"/>
              </w:rPr>
              <w:t>0 20px 60px rgba(108,71,255,0.35)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Call-to-action knapper, fremhævede elementer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7B3FE4"/>
          <w:sz w:val="18"/>
        </w:rPr>
        <w:t>06 — IKONER</w:t>
      </w:r>
    </w:p>
    <w:p>
      <w:pPr>
        <w:spacing w:before="360" w:after="120"/>
      </w:pPr>
      <w:r>
        <w:rPr>
          <w:b/>
          <w:color w:val="1C1C1E"/>
          <w:sz w:val="56"/>
        </w:rPr>
        <w:t>Ikon-system</w:t>
      </w:r>
    </w:p>
    <w:p>
      <w:pPr>
        <w:spacing w:before="40" w:after="80"/>
      </w:pPr>
      <w:r>
        <w:rPr>
          <w:b w:val="0"/>
          <w:i w:val="0"/>
          <w:sz w:val="22"/>
        </w:rPr>
        <w:t>Vi bruger udelukkende linje-ikoner fra Heroicons eller Lucide React. Stroke-width er altid 2px. Vi bruger aldrig emojis som ikoner i UI eller marketing-materiale.</w:t>
      </w:r>
    </w:p>
    <w:p>
      <w:pPr>
        <w:spacing w:before="280" w:after="120"/>
      </w:pPr>
      <w:r>
        <w:rPr>
          <w:b/>
          <w:sz w:val="26"/>
        </w:rPr>
        <w:t>Primære feature-ikoner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color w:val="7B3FE4"/>
              </w:rPr>
              <w:t>Feature</w:t>
            </w:r>
          </w:p>
        </w:tc>
        <w:tc>
          <w:tcPr>
            <w:tcW w:type="dxa" w:w="3022"/>
          </w:tcPr>
          <w:p>
            <w:r>
              <w:rPr>
                <w:b/>
                <w:color w:val="7B3FE4"/>
              </w:rPr>
              <w:t>Farve</w:t>
            </w:r>
          </w:p>
        </w:tc>
        <w:tc>
          <w:tcPr>
            <w:tcW w:type="dxa" w:w="3022"/>
          </w:tcPr>
          <w:p>
            <w:r>
              <w:rPr>
                <w:b/>
                <w:color w:val="7B3FE4"/>
              </w:rPr>
              <w:t>HEX</w:t>
            </w:r>
          </w:p>
        </w:tc>
      </w:tr>
      <w:tr>
        <w:tc>
          <w:tcPr>
            <w:tcW w:type="dxa" w:w="3022"/>
          </w:tcPr>
          <w:p>
            <w:r>
              <w:rPr>
                <w:b/>
              </w:rPr>
              <w:t>Kalender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Lilla</w:t>
            </w:r>
          </w:p>
        </w:tc>
        <w:tc>
          <w:tcPr>
            <w:tcW w:type="dxa" w:w="3022"/>
          </w:tcPr>
          <w:p>
            <w:r>
              <w:rPr>
                <w:rFonts w:ascii="Courier New" w:hAnsi="Courier New"/>
                <w:sz w:val="20"/>
              </w:rPr>
              <w:t>#6C47FF</w:t>
            </w:r>
          </w:p>
        </w:tc>
      </w:tr>
      <w:tr>
        <w:tc>
          <w:tcPr>
            <w:tcW w:type="dxa" w:w="3022"/>
          </w:tcPr>
          <w:p>
            <w:r>
              <w:rPr>
                <w:b/>
              </w:rPr>
              <w:t>Madplan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Orange</w:t>
            </w:r>
          </w:p>
        </w:tc>
        <w:tc>
          <w:tcPr>
            <w:tcW w:type="dxa" w:w="3022"/>
          </w:tcPr>
          <w:p>
            <w:r>
              <w:rPr>
                <w:rFonts w:ascii="Courier New" w:hAnsi="Courier New"/>
                <w:sz w:val="20"/>
              </w:rPr>
              <w:t>#F97316</w:t>
            </w:r>
          </w:p>
        </w:tc>
      </w:tr>
      <w:tr>
        <w:tc>
          <w:tcPr>
            <w:tcW w:type="dxa" w:w="3022"/>
          </w:tcPr>
          <w:p>
            <w:r>
              <w:rPr>
                <w:b/>
              </w:rPr>
              <w:t>Indkøbsliste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Blå</w:t>
            </w:r>
          </w:p>
        </w:tc>
        <w:tc>
          <w:tcPr>
            <w:tcW w:type="dxa" w:w="3022"/>
          </w:tcPr>
          <w:p>
            <w:r>
              <w:rPr>
                <w:rFonts w:ascii="Courier New" w:hAnsi="Courier New"/>
                <w:sz w:val="20"/>
              </w:rPr>
              <w:t>#3B82F6</w:t>
            </w:r>
          </w:p>
        </w:tc>
      </w:tr>
      <w:tr>
        <w:tc>
          <w:tcPr>
            <w:tcW w:type="dxa" w:w="3022"/>
          </w:tcPr>
          <w:p>
            <w:r>
              <w:rPr>
                <w:b/>
              </w:rPr>
              <w:t>Opgaver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Grøn</w:t>
            </w:r>
          </w:p>
        </w:tc>
        <w:tc>
          <w:tcPr>
            <w:tcW w:type="dxa" w:w="3022"/>
          </w:tcPr>
          <w:p>
            <w:r>
              <w:rPr>
                <w:rFonts w:ascii="Courier New" w:hAnsi="Courier New"/>
                <w:sz w:val="20"/>
              </w:rPr>
              <w:t>#10B981</w:t>
            </w:r>
          </w:p>
        </w:tc>
      </w:tr>
    </w:tbl>
    <w:p>
      <w:pPr>
        <w:spacing w:before="280" w:after="120"/>
      </w:pPr>
      <w:r>
        <w:rPr>
          <w:b/>
          <w:sz w:val="26"/>
        </w:rPr>
        <w:t>Regler for ikoner</w:t>
      </w:r>
    </w:p>
    <w:p>
      <w:pPr>
        <w:pStyle w:val="ListBullet"/>
        <w:spacing w:before="40" w:after="40"/>
      </w:pPr>
      <w:r>
        <w:rPr>
          <w:sz w:val="22"/>
        </w:rPr>
        <w:t>Stroke-width: altid 2px — aldrig filled ikoner</w:t>
      </w:r>
    </w:p>
    <w:p>
      <w:pPr>
        <w:pStyle w:val="ListBullet"/>
        <w:spacing w:before="40" w:after="40"/>
      </w:pPr>
      <w:r>
        <w:rPr>
          <w:sz w:val="22"/>
        </w:rPr>
        <w:t>Størrelse: minimum 16px, typisk 20–24px i UI</w:t>
      </w:r>
    </w:p>
    <w:p>
      <w:pPr>
        <w:pStyle w:val="ListBullet"/>
        <w:spacing w:before="40" w:after="40"/>
      </w:pPr>
      <w:r>
        <w:rPr>
          <w:sz w:val="22"/>
        </w:rPr>
        <w:t>Brug Heroicons (heroicons.com) eller Lucide (lucide.dev)</w:t>
      </w:r>
    </w:p>
    <w:p>
      <w:pPr>
        <w:pStyle w:val="ListBullet"/>
        <w:spacing w:before="40" w:after="40"/>
      </w:pPr>
      <w:r>
        <w:rPr>
          <w:sz w:val="22"/>
        </w:rPr>
        <w:t>Ikoner bruges altid med en tekstlabel — aldrig ikon-only i navigation</w:t>
      </w:r>
    </w:p>
    <w:p>
      <w:pPr>
        <w:pStyle w:val="ListBullet"/>
        <w:spacing w:before="40" w:after="40"/>
      </w:pPr>
      <w:r>
        <w:rPr>
          <w:sz w:val="22"/>
        </w:rPr>
        <w:t>Emojis bruges ikke som UI-ikoner</w:t>
      </w:r>
    </w:p>
    <w:p>
      <w:r>
        <w:br w:type="page"/>
      </w:r>
    </w:p>
    <w:p>
      <w:pPr>
        <w:spacing w:before="1200"/>
        <w:jc w:val="center"/>
      </w:pPr>
      <w:r>
        <w:rPr>
          <w:b/>
          <w:color w:val="7B3FE4"/>
          <w:sz w:val="48"/>
        </w:rPr>
        <w:t>Vores Hjem</w:t>
      </w:r>
    </w:p>
    <w:p>
      <w:pPr>
        <w:jc w:val="center"/>
      </w:pPr>
      <w:r>
        <w:rPr>
          <w:color w:val="C5C3D6"/>
          <w:sz w:val="18"/>
        </w:rPr>
        <w:t>Brand Guideline v1.0  ·  © 2026 Vores Hjem I/S  ·  CVR 45804445</w:t>
      </w:r>
    </w:p>
    <w:p>
      <w:pPr>
        <w:jc w:val="center"/>
      </w:pPr>
      <w:r>
        <w:rPr>
          <w:color w:val="7B3FE4"/>
          <w:sz w:val="20"/>
        </w:rPr>
        <w:t>voreshjem.dk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