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Levanter monthly Signal, August 2026.</w:t>
      </w:r>
    </w:p>
    <w:p>
      <w:r>
        <w:t>Crypto: 32 of 35 higher, average +23.7 percent. Strongest PUMP +96.1 percent.</w:t>
      </w:r>
    </w:p>
    <w:p>
      <w:r>
        <w:t>For the month ahead the model reads gold, silver, oil, platinum, palladium and 7 others as turbulent and the rest of the board as calm. We score every one of those calls in the next issue.</w:t>
      </w:r>
    </w:p>
    <w:p>
      <w:r>
        <w:t>The thirty-day volatility classifier runs about 74 percent in backtest. Our direction calls run near a coin flip, and we publish that too.</w:t>
      </w:r>
    </w:p>
    <w:p>
      <w:r>
        <w:t xml:space="preserve">The full monthly Signal, with the levels and the month-on-month changes, is for subscribers: </w:t>
      </w:r>
      <w:hyperlink r:id="rId9">
        <w:r>
          <w:rPr>
            <w:color w:val="1155CC"/>
            <w:u w:val="single"/>
          </w:rPr>
          <w:t>read.levantermarkets.com</w:t>
        </w:r>
      </w:hyperlink>
    </w:p>
    <w:p>
      <w:r>
        <w:t>Educational, not advice.</w:t>
      </w:r>
    </w:p>
    <w:p>
      <w:r>
        <w:t>#markets #crypto #volatility #macro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ad.levantermarke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