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Levanter monthly Signal · August 2026</w:t>
      </w:r>
    </w:p>
    <w:p>
      <w:pPr>
        <w:ind w:left="432"/>
      </w:pPr>
      <w:r>
        <w:rPr>
          <w:b/>
        </w:rPr>
        <w:t>The Levanter monthly Signal.</w:t>
      </w:r>
      <w:r>
        <w:t xml:space="preserve"> A deeper monthly read of volatility, valuation and positioning across crypto, FX and commodities. This is the subscriber tier, and it is free while we build the list. We will tell you before that changes. Subscribe at </w:t>
      </w:r>
      <w:hyperlink r:id="rId9">
        <w:r>
          <w:rPr>
            <w:color w:val="1155CC"/>
            <w:u w:val="single"/>
          </w:rPr>
          <w:t>read.levantermarkets.com</w:t>
        </w:r>
      </w:hyperlink>
      <w:r>
        <w:t>.</w:t>
      </w:r>
    </w:p>
    <w:p>
      <w:r>
        <w:rPr>
          <w:i/>
        </w:rPr>
        <w:t xml:space="preserve">Data captured at 00:49 GST on 31 August 2026. Figures cover the </w:t>
      </w:r>
      <w:r>
        <w:rPr>
          <w:i/>
        </w:rPr>
        <w:t>thirty days to 31 August 2026</w:t>
      </w:r>
      <w:r>
        <w:rPr>
          <w:i/>
        </w:rPr>
        <w:t>, which is close to August 2026 but is not the calendar month. This is the accountable read behind the free monthly review: what changed since the last issue, the levels to watch, and a claim we score next month.</w:t>
      </w:r>
    </w:p>
    <w:p/>
    <w:p>
      <w:pPr>
        <w:ind w:left="432"/>
      </w:pPr>
      <w:r>
        <w:rPr>
          <w:b/>
        </w:rPr>
        <w:t>Editor's line (add before publishing, then delete this prompt):</w:t>
      </w:r>
      <w:r>
        <w:t xml:space="preserve"> one sentence of your own read of the month. What it changes about how you are positioned, or the single thing you would tell a friend who asked. This is the line the model cannot write.</w:t>
      </w:r>
    </w:p>
    <w:p>
      <w:pPr>
        <w:pStyle w:val="Heading1"/>
      </w:pPr>
      <w:r>
        <w:t>A note on this first issue</w:t>
      </w:r>
    </w:p>
    <w:p>
      <w:r>
        <w:t>We compute month figures by comparing the close we stored on the last day of last month with the close we store today. This is the first issue, so there is no stored prior close and the numbers below use a trailing thirty-day window instead. From next month the figures are exact month on month, and this section disappears.</w:t>
      </w:r>
    </w:p>
    <w:p>
      <w:pPr>
        <w:pStyle w:val="Heading1"/>
      </w:pPr>
      <w:r>
        <w:t>August 2026, by asset class</w:t>
      </w:r>
    </w:p>
    <w:p>
      <w:r>
        <w:rPr>
          <w:b/>
        </w:rPr>
        <w:t>Crypto.</w:t>
      </w:r>
      <w:r>
        <w:t xml:space="preserve"> 32 of 35 higher, average +28.0 percent. Strongest: PUMP +120.1 percent, ENA +97.8 percent and ZEC +88.5 percent. Weakest: ONDO -10.3 percent, HTX -5.6 percent and GRAM -0.9 percent.</w:t>
      </w:r>
    </w:p>
    <w:p>
      <w:r>
        <w:rPr>
          <w:b/>
        </w:rPr>
        <w:t>Foreign exchange.</w:t>
      </w:r>
      <w:r>
        <w:t xml:space="preserve"> 9 of 16 higher, average -0.0 percent. Strongest: AUDUSD +1.9 percent, AUDJPY +1.8 percent and NZDUSD +0.8 percent. Weakest: USDZAR -2.3 percent, USDNOK -2.0 percent and USDMXN -1.9 percent.</w:t>
      </w:r>
    </w:p>
    <w:p>
      <w:r>
        <w:rPr>
          <w:b/>
        </w:rPr>
        <w:t>Commodities.</w:t>
      </w:r>
      <w:r>
        <w:t xml:space="preserve"> 13 of 18 higher, average +8.2 percent. Strongest: SUGAR +21.1 percent, CORN +19.5 percent and WHEAT +18.7 percent. Weakest: GASOLINE -10.2 percent, COFFEE -4.1 percent and BRENT OIL -2.9 percent.</w:t>
      </w:r>
    </w:p>
    <w:p>
      <w:pPr>
        <w:pStyle w:val="Heading1"/>
      </w:pPr>
      <w:r>
        <w:t>The one chart: bitcoin against its long-run trend</w:t>
      </w:r>
    </w:p>
    <w:p>
      <w:r>
        <w:t xml:space="preserve">Bitcoin is near 78,000 dollars. The </w:t>
      </w:r>
      <w:r>
        <w:rPr>
          <w:b/>
        </w:rPr>
        <w:t>valuation fit</w:t>
      </w:r>
      <w:r>
        <w:t xml:space="preserve"> models price against how long the network has existed, on a log-log scale. Fair value on that fit lands near 135,000, about 42 percent below the line, and the fitted floor sits near 59,000. Bitcoin has closed above that floor for roughly 95 percent of the historical sample. That is an in-sample observation, not a tested probability and not a guaranteed level of support.</w:t>
      </w:r>
    </w:p>
    <w:p>
      <w:r>
        <w:t xml:space="preserve">Our </w:t>
      </w:r>
      <w:r>
        <w:rPr>
          <w:b/>
        </w:rPr>
        <w:t>cycle gauge</w:t>
      </w:r>
      <w:r>
        <w:t xml:space="preserve"> reports a second number. It fits the same shape of curve, price against network age, but on a different price history and with a different band, then adds halving timing to classify the phase. It reads bitcoin as post-peak cooldown, about 44 percent below its own trend line. Do not read the two figures as confirming each other. They are the same kind of fit run over overlapping data, so close agreement is close to guaranteed and tells you nothing the first number did not. On a monthly horizon this is the number that matters most, because valuation says far more about a year than about a week.</w:t>
      </w:r>
    </w:p>
    <w:p>
      <w:pPr>
        <w:pStyle w:val="Heading1"/>
      </w:pPr>
      <w:r>
        <w:t>What the model can and cannot do</w:t>
      </w:r>
    </w:p>
    <w:p>
      <w:r>
        <w:t>It is a statistical fit of price to time. It has no hard economic mechanism behind it, cannot call tops, and may fail outside the historical sample. It is a valuation anchor rather than a timing tool. Treat the fair value and the floor as distant reference points, never as targets and never as a reason to size up.</w:t>
      </w:r>
    </w:p>
    <w:p>
      <w:pPr>
        <w:pStyle w:val="Heading1"/>
      </w:pPr>
      <w:r>
        <w:t>The thirty-day volatility map</w:t>
      </w:r>
    </w:p>
    <w:p>
      <w:r>
        <w:t>This is the part with measurable skill. The model tags each market turbulent or calm for the month ahead. In the point-in-time backtest it classified the thirty-day regime correctly about 73 percent of the time across 1178 calls, 95 percent interval 71 to 76, 20 points above its naive baseline, and 73 percent at ninety days. That is a backtest rather than a live forward record, and the live scoreboard is only now filling.</w:t>
      </w:r>
    </w:p>
    <w:p>
      <w:r>
        <w:t>The model also flags that current conditions sit outside the range it was fitted on, so treat this month's classifications with more caution than usual.</w:t>
      </w:r>
    </w:p>
    <w:p>
      <w:r>
        <w:t>For the month ahead it reads gold, silver, oil, platinum, palladium, Brent crude and 7 others as turbulent and the rest of the board as calm. Average cross-asset correlation is near 0.56, so diversification is thin.</w:t>
      </w:r>
    </w:p>
    <w:p>
      <w:pPr>
        <w:pStyle w:val="Heading1"/>
      </w:pPr>
      <w:r>
        <w:t>What changed since the last monthly Signal</w:t>
      </w:r>
    </w:p>
    <w:p>
      <w:r>
        <w:t>From next month this section flags which markets newly flipped turbulent or calm and how far bitcoin moved against its fitted value, so you can see what changed rather than only the latest state.</w:t>
      </w:r>
    </w:p>
    <w:p>
      <w:pPr>
        <w:pStyle w:val="Heading1"/>
      </w:pPr>
      <w:r>
        <w:t>Subscriber watchlist, with levels</w:t>
      </w:r>
    </w:p>
    <w:p>
      <w:pPr>
        <w:pStyle w:val="ListBullet"/>
      </w:pPr>
      <w:r>
        <w:rPr>
          <w:b/>
        </w:rPr>
        <w:t>Bitcoin.</w:t>
      </w:r>
      <w:r>
        <w:t xml:space="preserve"> Fitted floor near 59,000, fair value near 135,000. A monthly close below the fitted floor would be historically unusual and would challenge the model, rather than automatically creating a buying opportunity.</w:t>
      </w:r>
    </w:p>
    <w:p>
      <w:pPr>
        <w:pStyle w:val="ListBullet"/>
      </w:pPr>
      <w:r>
        <w:rPr>
          <w:b/>
        </w:rPr>
        <w:t>Ether volatility.</w:t>
      </w:r>
      <w:r>
        <w:t xml:space="preserve"> Annualised volatility is near 31 percent against a historical median around 53. The thirty-day classification currently reads low.</w:t>
      </w:r>
    </w:p>
    <w:p>
      <w:pPr>
        <w:pStyle w:val="ListBullet"/>
      </w:pPr>
      <w:r>
        <w:rPr>
          <w:b/>
        </w:rPr>
        <w:t>The metals.</w:t>
      </w:r>
      <w:r>
        <w:t xml:space="preserve"> Whether the turbulent bid broadens beyond gold, silver, platinum and palladium or fades back to calm.</w:t>
      </w:r>
    </w:p>
    <w:p>
      <w:pPr>
        <w:pStyle w:val="ListBullet"/>
      </w:pPr>
      <w:r>
        <w:rPr>
          <w:b/>
        </w:rPr>
        <w:t>Pegs and dominance.</w:t>
      </w:r>
      <w:r>
        <w:t xml:space="preserve"> Bitcoin dominance is near 69 percent and the stablecoins we track are holding. A tracked peg below 0.995 would trigger Levanter's wobble alert.</w:t>
      </w:r>
    </w:p>
    <w:p>
      <w:r>
        <w:t>To score next month: the model calls gold, silver, oil, platinum and 9 others turbulent and the rest calm. In the next issue we score each call the way the model does, whether realised volatility over the month came in above or below the asset's running-median volatility, and show the hits and the misses. That is the claim you can hold this Signal to.</w:t>
      </w:r>
    </w:p>
    <w:p>
      <w:r>
        <w:t>One honesty line to close. Across 410 scored direction calls our accuracy is about 52 percent, which is close to a coin flip and exactly what the research says to expect. We publish it because the number is the point. Volatility is forecastable and we forecast it. Direction is not, so we do not sell it.</w:t>
      </w:r>
    </w:p>
    <w:p/>
    <w:p>
      <w:r>
        <w:t xml:space="preserve">*This is the Levanter monthly Signal, the subscriber note, free for now while we build the list. We will tell you before that changes. Subscribe at </w:t>
      </w:r>
      <w:hyperlink r:id="rId9">
        <w:r>
          <w:rPr>
            <w:color w:val="1155CC"/>
            <w:u w:val="single"/>
          </w:rPr>
          <w:t>read.levantermarkets.com</w:t>
        </w:r>
      </w:hyperlink>
      <w:r>
        <w:t xml:space="preserve">. The daily, weekly and monthly reviews stay free at </w:t>
      </w:r>
      <w:hyperlink r:id="rId10">
        <w:r>
          <w:rPr>
            <w:color w:val="1155CC"/>
            <w:u w:val="single"/>
          </w:rPr>
          <w:t>levantermarkets.com</w:t>
        </w:r>
      </w:hyperlink>
      <w:r>
        <w:t>. Educational market analysis, not financial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d.levantermarkets.com" TargetMode="External"/><Relationship Id="rId10" Type="http://schemas.openxmlformats.org/officeDocument/2006/relationships/hyperlink" Target="https://levantermark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