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Signal · week of 24 August 2026</w:t>
      </w:r>
    </w:p>
    <w:p>
      <w:pPr>
        <w:ind w:left="432"/>
      </w:pPr>
      <w:r>
        <w:rPr>
          <w:b/>
        </w:rPr>
        <w:t>New: the Levanter Signal, a weekly newsletter.</w:t>
      </w:r>
      <w:r>
        <w:t xml:space="preserve"> This is the first issue. It reads volatility, valuation and the week ahead across crypto, foreign exchange and commodities, and it is honest about what a model can and cannot forecast. It is </w:t>
      </w:r>
      <w:r>
        <w:rPr>
          <w:b/>
        </w:rPr>
        <w:t>free this week and next</w:t>
      </w:r>
      <w:r>
        <w:t xml:space="preserve">, then it moves to subscribers. Subscribe at </w:t>
      </w:r>
      <w:hyperlink r:id="rId9">
        <w:r>
          <w:rPr>
            <w:color w:val="1155CC"/>
            <w:u w:val="single"/>
          </w:rPr>
          <w:t>read.levantermarkets.com</w:t>
        </w:r>
      </w:hyperlink>
      <w:r>
        <w:t xml:space="preserve"> to keep it.</w:t>
      </w:r>
    </w:p>
    <w:p>
      <w:r>
        <w:rPr>
          <w:i/>
        </w:rPr>
        <w:t>Data captured at 19:04 GST on 24 August 2026. Every figure below is stamped to a period, because they move. This is the accountable read behind the free weekly: the changes since last week, the levels to watch, and a claim we will score in the next issue.</w:t>
      </w:r>
    </w:p>
    <w:p/>
    <w:p>
      <w:pPr>
        <w:ind w:left="432"/>
      </w:pPr>
      <w:r>
        <w:rPr>
          <w:b/>
        </w:rPr>
        <w:t>Editor's line (add before publishing, then delete this prompt):</w:t>
      </w:r>
      <w:r>
        <w:t xml:space="preserve"> one sentence of your own read of the week. Two minutes. What it means for how you are positioned, or the single thing you would tell a friend who asked. This is the line the model cannot write.</w:t>
      </w:r>
    </w:p>
    <w:p>
      <w:pPr>
        <w:pStyle w:val="Heading1"/>
      </w:pPr>
      <w:r>
        <w:t>The one chart: bitcoin against its adoption model</w:t>
      </w:r>
    </w:p>
    <w:p>
      <w:r>
        <w:t>Bitcoin is near 78,000 dollars, captured 19:04 GST on 24 August 2026. We value it against network age with a power-law fit. Fair value on that fit lands near 135,000, about 42 percent below the line, and the fitted floor sits near 59,000. Bitcoin has closed above that floor line for roughly 95 percent of the historical sample. That is an in-sample observation, not a tested probability and not a guaranteed level of support.</w:t>
      </w:r>
    </w:p>
    <w:p>
      <w:r>
        <w:t>A separate cycle model classifies bitcoin as post-peak cooldown, about 43 percent below its own power-law trend. Both are long-horizon context. Where price sits against a multi-year fit says nothing about the next five days, so read it as valuation, not a reason to act on the week.</w:t>
      </w:r>
    </w:p>
    <w:p>
      <w:r>
        <w:rPr>
          <w:i/>
        </w:rPr>
        <w:t>(Chart: bitcoin price against its adoption fair value and floor.)</w:t>
      </w:r>
    </w:p>
    <w:p>
      <w:pPr>
        <w:pStyle w:val="Heading1"/>
      </w:pPr>
      <w:r>
        <w:t>What the model can and cannot do</w:t>
      </w:r>
    </w:p>
    <w:p>
      <w:r>
        <w:t>The limits matter more than the headline. The power law is a fit of price to time. It has no economic mechanism behind it, it cannot call tops, and a line that holds in the historical sample can break out of it. It is a valuation anchor, not a timing tool. Treat the fair value and the floor as distant reference points, never as targets and never as a reason to size up.</w:t>
      </w:r>
    </w:p>
    <w:p>
      <w:pPr>
        <w:pStyle w:val="Heading1"/>
      </w:pPr>
      <w:r>
        <w:t>The seven-day volatility map</w:t>
      </w:r>
    </w:p>
    <w:p>
      <w:r>
        <w:t>This is the part with measurable skill. The model tags each market turbulent or calm for the week ahead. Against a 50 percent coin-flip baseline it is right about 66 percent of the time at seven days and 72 percent at thirty, backtested point-in-time over five years on non-overlapping samples. That is a backtest, not a live forward record: the live scoreboard is only now starting to fill.</w:t>
      </w:r>
    </w:p>
    <w:p>
      <w:r>
        <w:t>For the coming week the model reads six markets turbulent: bitcoin, ether, gold, silver, platinum and the Swiss franc. The rest is calm, including six of the seven displayed FX pairs, the S&amp;P, and oil, copper and natural gas in energy. So the average market is contained while the turbulence is concentrated, which settles the apparent tension in the free weekly between a mostly-calm board and loud pockets. Both are true, because only the metals and big crypto are carrying the range.</w:t>
      </w:r>
    </w:p>
    <w:p>
      <w:r>
        <w:t>The loudest reads are in big crypto. Bitcoin's one-week volatility is near 54 percent against a 39 median, and ether near 101 against 53, close to double its normal. Both are turbulent on the week while their one-month regime is still calm, so this is a near-term spike rather than a change of character. The metals read turbulent on both the one-week and one-month horizons, so their wider ranges are more persistent.</w:t>
      </w:r>
    </w:p>
    <w:p>
      <w:r>
        <w:t>On direction the model is close to a coin flip, which is the thesis rather than a shortfall: 49 percent over 320 backtested crypto calls, the class with the most data. The full per-class breakdown, and why the commodities figure is not an edge, sit on the track record. We forecast volatility, not direction.</w:t>
      </w:r>
    </w:p>
    <w:p>
      <w:pPr>
        <w:pStyle w:val="Heading1"/>
      </w:pPr>
      <w:r>
        <w:t>What changed since the last Signal</w:t>
      </w:r>
    </w:p>
    <w:p>
      <w:r>
        <w:t>This is the first issue, so there is no prior Signal to compare against. From next week this section flags which markets newly flipped turbulent or calm and how far bitcoin moved against its fitted value, so you see the model changing its mind, not just its latest state.</w:t>
      </w:r>
    </w:p>
    <w:p>
      <w:pPr>
        <w:pStyle w:val="Heading1"/>
      </w:pPr>
      <w:r>
        <w:t>The week behind, and what it rhymes with</w:t>
      </w:r>
    </w:p>
    <w:p>
      <w:r>
        <w:t>Over the past seven days crypto was broad and speculative-led: 32 of 35 coins higher, cap-weighted about +26 percent on the week and +26 percent over thirty days, led by the speculative end, PUMP +71 percent and ZEC +68 percent, with a best-to-worst spread near 74 points. Dominance held near 68 percent and the stablecoins we track kept their pegs. In foreign exchange the biggest seven-day move was NZDUSD at +1.2 percent, ranges otherwise tight. In commodities the metals led the week, platinum +7 percent, gold +7 percent and silver +4 percent. Risk appetite is running in the tail while the majors and the dollar sit quiet.</w:t>
      </w:r>
    </w:p>
    <w:p>
      <w:pPr>
        <w:pStyle w:val="Heading1"/>
      </w:pPr>
      <w:r>
        <w:t>Subscriber watchlist, with levels</w:t>
      </w:r>
    </w:p>
    <w:p>
      <w:pPr>
        <w:pStyle w:val="ListBullet"/>
      </w:pPr>
      <w:r>
        <w:rPr>
          <w:b/>
        </w:rPr>
        <w:t>Bitcoin.</w:t>
      </w:r>
      <w:r>
        <w:t xml:space="preserve"> Fitted floor near 59,000, fair value near 135,000. A weekly close below the floor line would be the first in most of the sample.</w:t>
      </w:r>
    </w:p>
    <w:p>
      <w:pPr>
        <w:pStyle w:val="ListBullet"/>
      </w:pPr>
      <w:r>
        <w:rPr>
          <w:b/>
        </w:rPr>
        <w:t>Ether volatility.</w:t>
      </w:r>
      <w:r>
        <w:t xml:space="preserve"> Watch it fall back toward its 53 median. Holding near 101 would turn the spike into a regime.</w:t>
      </w:r>
    </w:p>
    <w:p>
      <w:pPr>
        <w:pStyle w:val="ListBullet"/>
      </w:pPr>
      <w:r>
        <w:rPr>
          <w:b/>
        </w:rPr>
        <w:t>The metals.</w:t>
      </w:r>
      <w:r>
        <w:t xml:space="preserve"> Whether the turbulent bid broadens beyond gold, silver and platinum or fades back to calm.</w:t>
      </w:r>
    </w:p>
    <w:p>
      <w:pPr>
        <w:pStyle w:val="ListBullet"/>
      </w:pPr>
      <w:r>
        <w:rPr>
          <w:b/>
        </w:rPr>
        <w:t>Pegs and dominance.</w:t>
      </w:r>
      <w:r>
        <w:t xml:space="preserve"> Stablecoins holding, dominance near 68 percent. A peg under 0.995 or a sharp dominance move is the early risk-off tell.</w:t>
      </w:r>
    </w:p>
    <w:p>
      <w:r>
        <w:t>To score next week: the model calls bitcoin, ether, gold, silver, platinum and the Swiss franc turbulent and the rest calm. In the next issue we mark whether those turbulent markets realised a wider-than-median weekly range and whether the calm ones stayed contained. That is the claim you can hold this Signal to.</w:t>
      </w:r>
    </w:p>
    <w:p/>
    <w:p>
      <w:r>
        <w:t xml:space="preserve">*This is the Levanter Signal, our new weekly newsletter, free this week and next. After that it moves to subscribers, so subscribe now at </w:t>
      </w:r>
      <w:hyperlink r:id="rId9">
        <w:r>
          <w:rPr>
            <w:color w:val="1155CC"/>
            <w:u w:val="single"/>
          </w:rPr>
          <w:t>read.levantermarkets.com</w:t>
        </w:r>
      </w:hyperlink>
      <w:r>
        <w:t xml:space="preserve"> to keep getting it. The daily, weekly and monthly reviews stay free at </w:t>
      </w:r>
      <w:hyperlink r:id="rId10">
        <w:r>
          <w:rPr>
            <w:color w:val="1155CC"/>
            <w:u w:val="single"/>
          </w:rPr>
          <w:t>levantermarkets.com</w:t>
        </w:r>
      </w:hyperlink>
      <w:r>
        <w:t>. Educational market analysis, not financial advice.*</w:t>
      </w:r>
    </w:p>
    <w:p>
      <w:r>
        <w:t xml:space="preserve">*Subscribe: </w:t>
      </w:r>
      <w:hyperlink r:id="rId9">
        <w:r>
          <w:rPr>
            <w:color w:val="1155CC"/>
            <w:u w:val="single"/>
          </w:rPr>
          <w:t>read.levantermarkets.com</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