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Levanter Daily · Thursday, 3 September 2026</w:t>
      </w:r>
    </w:p>
    <w:p>
      <w:pPr>
        <w:pStyle w:val="Heading1"/>
      </w:pPr>
      <w:r>
        <w:t>Crypto</w:t>
      </w:r>
    </w:p>
    <w:p>
      <w:r>
        <w:rPr>
          <w:b/>
        </w:rPr>
        <w:t>Yesterday.</w:t>
      </w:r>
      <w:r>
        <w:t xml:space="preserve"> 34 of 35 coins closed higher. Best ZEC +18.3%, weakest ASTER -2.5%. </w:t>
      </w:r>
      <w:r>
        <w:rPr>
          <w:b/>
        </w:rPr>
        <w:t>Coming session.</w:t>
      </w:r>
      <w:r>
        <w:t xml:space="preserve"> The model does not call direction (that is a coin-flip); it flags what to watch. Volatility regime points to </w:t>
      </w:r>
      <w:r>
        <w:rPr>
          <w:b/>
        </w:rPr>
        <w:t>calmer</w:t>
      </w:r>
      <w:r>
        <w:t xml:space="preserve"> conditions near-term (1/3 flagged high-vol at 7d). Most active names to watch: ENA, UNI.</w:t>
      </w:r>
    </w:p>
    <w:p>
      <w:pPr>
        <w:pStyle w:val="Heading1"/>
      </w:pPr>
      <w:r>
        <w:t>FX</w:t>
      </w:r>
    </w:p>
    <w:p>
      <w:r>
        <w:rPr>
          <w:b/>
        </w:rPr>
        <w:t>Yesterday.</w:t>
      </w:r>
      <w:r>
        <w:t xml:space="preserve"> 4 of 16 pairs closed higher. Best AUDUSD +0.8%, weakest GBPJPY -2.6%. </w:t>
      </w:r>
      <w:r>
        <w:rPr>
          <w:b/>
        </w:rPr>
        <w:t>Coming session.</w:t>
      </w:r>
      <w:r>
        <w:t xml:space="preserve"> The model does not call direction (that is a coin-flip); it flags what to watch. Volatility regime points to </w:t>
      </w:r>
      <w:r>
        <w:rPr>
          <w:b/>
        </w:rPr>
        <w:t>calmer</w:t>
      </w:r>
      <w:r>
        <w:t xml:space="preserve"> conditions near-term (1/7 flagged high-vol at 7d). Most active names to watch: USDZAR, USDSEK.</w:t>
      </w:r>
    </w:p>
    <w:p>
      <w:pPr>
        <w:pStyle w:val="Heading1"/>
      </w:pPr>
      <w:r>
        <w:t>Commodities</w:t>
      </w:r>
    </w:p>
    <w:p>
      <w:r>
        <w:rPr>
          <w:b/>
        </w:rPr>
        <w:t>Yesterday.</w:t>
      </w:r>
      <w:r>
        <w:t xml:space="preserve"> 12 of 18 markets closed higher. Best PALLADIUM +6.7%, weakest COFFEE -10.2%. </w:t>
      </w:r>
      <w:r>
        <w:rPr>
          <w:b/>
        </w:rPr>
        <w:t>Coming session.</w:t>
      </w:r>
      <w:r>
        <w:t xml:space="preserve"> The model does not call direction (that is a coin-flip); it flags what to watch. Volatility regime points to </w:t>
      </w:r>
      <w:r>
        <w:rPr>
          <w:b/>
        </w:rPr>
        <w:t>turbulent</w:t>
      </w:r>
      <w:r>
        <w:t xml:space="preserve"> conditions near-term (13/16 flagged high-vol at 7d). Most active names to watch: BRENT OIL, COFFEE.</w:t>
      </w:r>
    </w:p>
    <w:p/>
    <w:p>
      <w:r>
        <w:t xml:space="preserve">Live dashboard: </w:t>
      </w:r>
      <w:hyperlink r:id="rId9">
        <w:r>
          <w:rPr>
            <w:color w:val="1155CC"/>
            <w:u w:val="single"/>
          </w:rPr>
          <w:t>levantermarkets.com</w:t>
        </w:r>
      </w:hyperlink>
      <w:r>
        <w:t xml:space="preserve">     Subscribe: </w:t>
      </w:r>
      <w:hyperlink r:id="rId10">
        <w:r>
          <w:rPr>
            <w:color w:val="1155CC"/>
            <w:u w:val="single"/>
          </w:rPr>
          <w:t>read.levantermarkets.com</w:t>
        </w:r>
      </w:hyperlink>
    </w:p>
    <w:p>
      <w:r>
        <w:rPr>
          <w:i/>
        </w:rPr>
        <w:t>Levanter. Educational, not financial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vantermarkets.com" TargetMode="External"/><Relationship Id="rId10" Type="http://schemas.openxmlformats.org/officeDocument/2006/relationships/hyperlink" Target="https://read.levantermarke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