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890F0"/>
          <w:sz w:val="16"/>
          <w:szCs w:val="16"/>
        </w:rPr>
        <w:t xml:space="preserve">LEVANTER  ·  MARKETS · SIGNALS · INSIGHT</w:t>
      </w:r>
    </w:p>
    <w:p>
      <w:pPr>
        <w:pStyle w:val="Heading1"/>
        <w:spacing w:after="160"/>
      </w:pPr>
      <w:r>
        <w:rPr>
          <w:b/>
          <w:bCs/>
          <w:color w:val="0B1F3A"/>
          <w:sz w:val="34"/>
          <w:szCs w:val="34"/>
        </w:rPr>
        <w:t xml:space="preserve">LinkedIn: one post, teaser plus the Signal carousel</w:t>
      </w:r>
    </w:p>
    <w:p>
      <w:pPr>
        <w:spacing w:after="140"/>
      </w:pPr>
      <w:r>
        <w:rPr>
          <w:b w:val="false"/>
          <w:bCs w:val="false"/>
          <w:i w:val="false"/>
          <w:iCs w:val="false"/>
          <w:color w:val="5A6B85"/>
          <w:sz w:val="22"/>
          <w:szCs w:val="22"/>
        </w:rPr>
        <w:t xml:space="preserve">One post, not two. The teaser copy is the caption. The carousel is the document attached to it. Do not also post the standalone teaser, or the second one lands to people who read the first an hour earlier.</w:t>
      </w:r>
    </w:p>
    <w:p>
      <w:pPr>
        <w:pStyle w:val="Heading2"/>
        <w:spacing w:after="140" w:before="340"/>
      </w:pPr>
      <w:r>
        <w:rPr>
          <w:b/>
          <w:bCs/>
          <w:color w:val="2890F0"/>
          <w:sz w:val="26"/>
          <w:szCs w:val="26"/>
        </w:rPr>
        <w:t xml:space="preserve">How to post it</w:t>
      </w:r>
    </w:p>
    <w:p>
      <w:pPr>
        <w:spacing w:after="140"/>
      </w:pPr>
      <w:r>
        <w:rPr>
          <w:b w:val="false"/>
          <w:bCs w:val="false"/>
          <w:i w:val="false"/>
          <w:iCs w:val="false"/>
          <w:color w:val="0B1F3A"/>
          <w:sz w:val="22"/>
          <w:szCs w:val="22"/>
        </w:rPr>
        <w:t xml:space="preserve">Company page first, as a document post with levanter-signal-linkedin-carousel.pdf attached. Then reshare from your personal profile with a line of your own. Link goes in the first comment, not the body.</w:t>
      </w:r>
    </w:p>
    <w:p>
      <w:pPr>
        <w:pStyle w:val="Heading2"/>
        <w:spacing w:after="140" w:before="340"/>
      </w:pPr>
      <w:r>
        <w:rPr>
          <w:b/>
          <w:bCs/>
          <w:color w:val="2890F0"/>
          <w:sz w:val="26"/>
          <w:szCs w:val="26"/>
        </w:rPr>
        <w:t xml:space="preserve">Why the order below</w:t>
      </w:r>
    </w:p>
    <w:p>
      <w:pPr>
        <w:spacing w:after="140"/>
      </w:pPr>
      <w:r>
        <w:rPr>
          <w:b w:val="false"/>
          <w:bCs w:val="false"/>
          <w:i w:val="false"/>
          <w:iCs w:val="false"/>
          <w:color w:val="0B1F3A"/>
          <w:sz w:val="22"/>
          <w:szCs w:val="22"/>
        </w:rPr>
        <w:t xml:space="preserve">LinkedIn shows roughly the first two lines before “see more”, so those two carry the whole job of earning the click. The teaser opened on the announcement, which is the weaker of the two openings you have. The claim goes first here and the announcement second. The scorecard section is kept in full because the carousel only covers crypto, so the caption adds something rather than repeating the swipe.</w:t>
      </w:r>
    </w:p>
    <w:p>
      <w:pPr>
        <w:pBdr>
          <w:bottom w:val="single" w:color="DCE7F7" w:sz="6" w:space="8"/>
        </w:pBdr>
        <w:spacing w:after="200" w:before="200"/>
      </w:pPr>
    </w:p>
    <w:p>
      <w:pPr>
        <w:pStyle w:val="Heading2"/>
        <w:spacing w:after="140" w:before="340"/>
      </w:pPr>
      <w:r>
        <w:rPr>
          <w:b/>
          <w:bCs/>
          <w:color w:val="2890F0"/>
          <w:sz w:val="26"/>
          <w:szCs w:val="26"/>
        </w:rPr>
        <w:t xml:space="preserve">Post text</w:t>
      </w:r>
    </w:p>
    <w:p>
      <w:pPr>
        <w:spacing w:after="140"/>
      </w:pPr>
      <w:r>
        <w:rPr>
          <w:b w:val="false"/>
          <w:bCs w:val="false"/>
          <w:i w:val="false"/>
          <w:iCs w:val="false"/>
          <w:color w:val="0B1F3A"/>
          <w:sz w:val="22"/>
          <w:szCs w:val="22"/>
        </w:rPr>
        <w:t xml:space="preserve">Most market commentary this week will tell you where prices are going.</w:t>
      </w:r>
    </w:p>
    <w:p>
      <w:pPr>
        <w:spacing w:after="140"/>
      </w:pPr>
      <w:r>
        <w:rPr>
          <w:b w:val="false"/>
          <w:bCs w:val="false"/>
          <w:i w:val="false"/>
          <w:iCs w:val="false"/>
          <w:color w:val="0B1F3A"/>
          <w:sz w:val="22"/>
          <w:szCs w:val="22"/>
        </w:rPr>
        <w:t xml:space="preserve">Here is a week of what a model can actually tell you, and where it stops.</w:t>
      </w:r>
    </w:p>
    <w:p>
      <w:pPr>
        <w:spacing w:after="140"/>
      </w:pPr>
      <w:r>
        <w:rPr>
          <w:b w:val="false"/>
          <w:bCs w:val="false"/>
          <w:i w:val="false"/>
          <w:iCs w:val="false"/>
          <w:color w:val="0B1F3A"/>
          <w:sz w:val="22"/>
          <w:szCs w:val="22"/>
        </w:rPr>
        <w:t xml:space="preserve">That is the first Levanter Signal, our new weekly note, and it is in the document below in full. Market intelligence across crypto, foreign exchange and commodities, from a site that models volatility and refuses to pretend it can forecast direction.</w:t>
      </w:r>
    </w:p>
    <w:p>
      <w:pPr>
        <w:spacing w:after="140"/>
      </w:pPr>
      <w:r>
        <w:rPr>
          <w:b/>
          <w:bCs/>
          <w:i w:val="false"/>
          <w:iCs w:val="false"/>
          <w:color w:val="0B1F3A"/>
          <w:sz w:val="22"/>
          <w:szCs w:val="22"/>
        </w:rPr>
        <w:t xml:space="preserve">What is knowable.</w:t>
      </w:r>
    </w:p>
    <w:p>
      <w:pPr>
        <w:spacing w:after="140"/>
      </w:pPr>
      <w:r>
        <w:rPr>
          <w:b w:val="false"/>
          <w:bCs w:val="false"/>
          <w:i w:val="false"/>
          <w:iCs w:val="false"/>
          <w:color w:val="0B1F3A"/>
          <w:sz w:val="22"/>
          <w:szCs w:val="22"/>
        </w:rPr>
        <w:t xml:space="preserve">Volatility clusters, so a turbulent-or-calm classification carries measurable skill: about 66% correct at seven days and 73% at thirty in a five-year point-in-time backtest. This week the model puts the wider ranges in the metals and big-cap crypto, and the calm across most of foreign exchange and energy.</w:t>
      </w:r>
    </w:p>
    <w:p>
      <w:pPr>
        <w:spacing w:after="140"/>
      </w:pPr>
      <w:r>
        <w:rPr>
          <w:b w:val="false"/>
          <w:bCs w:val="false"/>
          <w:i w:val="false"/>
          <w:iCs w:val="false"/>
          <w:color w:val="0B1F3A"/>
          <w:sz w:val="22"/>
          <w:szCs w:val="22"/>
        </w:rPr>
        <w:t xml:space="preserve">On the longer view, bitcoin sits about 42 percent below the fair value produced by our long-run valuation fit, which models price against how long the network has existed. That is valuation context, not a price target and not a prediction for Friday.</w:t>
      </w:r>
    </w:p>
    <w:p>
      <w:pPr>
        <w:spacing w:after="140"/>
      </w:pPr>
      <w:r>
        <w:rPr>
          <w:b/>
          <w:bCs/>
          <w:i w:val="false"/>
          <w:iCs w:val="false"/>
          <w:color w:val="0B1F3A"/>
          <w:sz w:val="22"/>
          <w:szCs w:val="22"/>
        </w:rPr>
        <w:t xml:space="preserve">What is not knowable.</w:t>
      </w:r>
    </w:p>
    <w:p>
      <w:pPr>
        <w:spacing w:after="140"/>
      </w:pPr>
      <w:r>
        <w:rPr>
          <w:b w:val="false"/>
          <w:bCs w:val="false"/>
          <w:i w:val="false"/>
          <w:iCs w:val="false"/>
          <w:color w:val="0B1F3A"/>
          <w:sz w:val="22"/>
          <w:szCs w:val="22"/>
        </w:rPr>
        <w:t xml:space="preserve">Direction. The scorecard reads crypto 49 percent over 320 calls, commodities 62 percent over 90, and foreign exchange not yet scored. Crypto is the large sample and it sits almost exactly at chance. The commodities number looks better, but 62 percent from 90 calls in a strongly trending market does not establish an edge. Read the rows, not a flattering blended number.</w:t>
      </w:r>
    </w:p>
    <w:p>
      <w:pPr>
        <w:spacing w:after="140"/>
      </w:pPr>
      <w:r>
        <w:rPr>
          <w:b w:val="false"/>
          <w:bCs w:val="false"/>
          <w:i w:val="false"/>
          <w:iCs w:val="false"/>
          <w:color w:val="0B1F3A"/>
          <w:sz w:val="22"/>
          <w:szCs w:val="22"/>
        </w:rPr>
        <w:t xml:space="preserve">And the part I care about most. The last slide commits to a claim. Next week we score every turbulent and calm call in this issue against what actually happened, hits and misses both.</w:t>
      </w:r>
    </w:p>
    <w:p>
      <w:pPr>
        <w:spacing w:after="140"/>
      </w:pPr>
      <w:r>
        <w:rPr>
          <w:b w:val="false"/>
          <w:bCs w:val="false"/>
          <w:i w:val="false"/>
          <w:iCs w:val="false"/>
          <w:color w:val="0B1F3A"/>
          <w:sz w:val="22"/>
          <w:szCs w:val="22"/>
        </w:rPr>
        <w:t xml:space="preserve">The Signal is the subscriber tier. It is free while we build the list, and we will say so before that changes.</w:t>
      </w:r>
    </w:p>
    <w:p>
      <w:pPr>
        <w:spacing w:after="140"/>
      </w:pPr>
      <w:r>
        <w:rPr>
          <w:b w:val="false"/>
          <w:bCs w:val="false"/>
          <w:i w:val="false"/>
          <w:iCs w:val="false"/>
          <w:color w:val="5A6B85"/>
          <w:sz w:val="22"/>
          <w:szCs w:val="22"/>
        </w:rPr>
        <w:t xml:space="preserve">#markets #bitcoin #crypto #investing #volatility</w:t>
      </w:r>
    </w:p>
    <w:p>
      <w:pPr>
        <w:pBdr>
          <w:bottom w:val="single" w:color="DCE7F7" w:sz="6" w:space="8"/>
        </w:pBdr>
        <w:spacing w:after="200" w:before="200"/>
      </w:pPr>
    </w:p>
    <w:p>
      <w:pPr>
        <w:pStyle w:val="Heading2"/>
        <w:spacing w:after="140" w:before="340"/>
      </w:pPr>
      <w:r>
        <w:rPr>
          <w:b/>
          <w:bCs/>
          <w:color w:val="2890F0"/>
          <w:sz w:val="26"/>
          <w:szCs w:val="26"/>
        </w:rPr>
        <w:t xml:space="preserve">First comment</w:t>
      </w:r>
    </w:p>
    <w:p>
      <w:pPr>
        <w:spacing w:after="140"/>
      </w:pPr>
      <w:r>
        <w:rPr>
          <w:b w:val="false"/>
          <w:bCs w:val="false"/>
          <w:i w:val="false"/>
          <w:iCs w:val="false"/>
          <w:color w:val="0B1F3A"/>
          <w:sz w:val="22"/>
          <w:szCs w:val="22"/>
        </w:rPr>
        <w:t xml:space="preserve">Full issue: read.levantermarkets.com</w:t>
      </w:r>
    </w:p>
    <w:p>
      <w:pPr>
        <w:spacing w:after="140"/>
      </w:pPr>
      <w:r>
        <w:rPr>
          <w:b w:val="false"/>
          <w:bCs w:val="false"/>
          <w:i w:val="false"/>
          <w:iCs w:val="false"/>
          <w:color w:val="0B1F3A"/>
          <w:sz w:val="22"/>
          <w:szCs w:val="22"/>
        </w:rPr>
        <w:t xml:space="preserve">The daily, weekly and monthly reviews stay free at levantermarkets.com</w:t>
      </w:r>
    </w:p>
    <w:p>
      <w:pPr>
        <w:spacing w:after="140"/>
      </w:pPr>
      <w:r>
        <w:rPr>
          <w:b w:val="false"/>
          <w:bCs w:val="false"/>
          <w:i w:val="false"/>
          <w:iCs w:val="false"/>
          <w:color w:val="0B1F3A"/>
          <w:sz w:val="22"/>
          <w:szCs w:val="22"/>
        </w:rPr>
        <w:t xml:space="preserve">Educational market analysis, not financial advice.</w:t>
      </w:r>
    </w:p>
    <w:p>
      <w:pPr>
        <w:pStyle w:val="Heading2"/>
        <w:spacing w:after="140" w:before="340"/>
      </w:pPr>
      <w:r>
        <w:rPr>
          <w:b/>
          <w:bCs/>
          <w:color w:val="2890F0"/>
          <w:sz w:val="26"/>
          <w:szCs w:val="26"/>
        </w:rPr>
        <w:t xml:space="preserve">Personal reshare line</w:t>
      </w:r>
    </w:p>
    <w:p>
      <w:pPr>
        <w:spacing w:after="140"/>
      </w:pPr>
      <w:r>
        <w:rPr>
          <w:b w:val="false"/>
          <w:bCs w:val="false"/>
          <w:i w:val="false"/>
          <w:iCs w:val="false"/>
          <w:color w:val="5A6B85"/>
          <w:sz w:val="22"/>
          <w:szCs w:val="22"/>
        </w:rPr>
        <w:t xml:space="preserve">Not a bare share. One line of your own:</w:t>
      </w:r>
    </w:p>
    <w:p>
      <w:pPr>
        <w:spacing w:after="140"/>
      </w:pPr>
      <w:r>
        <w:rPr>
          <w:b w:val="false"/>
          <w:bCs w:val="false"/>
          <w:i/>
          <w:iCs/>
          <w:color w:val="0B1F3A"/>
          <w:sz w:val="22"/>
          <w:szCs w:val="22"/>
        </w:rPr>
        <w:t xml:space="preserve">“I have started a weekly note that ends by committing to a claim we score in public the following week. That last slide is the whole point of it.”</w:t>
      </w:r>
    </w:p>
    <w:p>
      <w:pPr>
        <w:pStyle w:val="Heading2"/>
        <w:spacing w:after="140" w:before="340"/>
      </w:pPr>
      <w:r>
        <w:rPr>
          <w:b/>
          <w:bCs/>
          <w:color w:val="2890F0"/>
          <w:sz w:val="26"/>
          <w:szCs w:val="26"/>
        </w:rPr>
        <w:t xml:space="preserve">Substack note</w:t>
      </w:r>
    </w:p>
    <w:p>
      <w:pPr>
        <w:spacing w:after="140"/>
      </w:pPr>
      <w:r>
        <w:rPr>
          <w:b w:val="false"/>
          <w:bCs w:val="false"/>
          <w:i w:val="false"/>
          <w:iCs w:val="false"/>
          <w:color w:val="0B1F3A"/>
          <w:sz w:val="22"/>
          <w:szCs w:val="22"/>
        </w:rPr>
        <w:t xml:space="preserve">Same text, minus the hashtags and minus the “document below” line, since there is no carousel on Substack. Open on the two hook lines, then link the issue.</w:t>
      </w:r>
    </w:p>
    <w:p>
      <w:pPr>
        <w:pBdr>
          <w:bottom w:val="single" w:color="DCE7F7" w:sz="6" w:space="8"/>
        </w:pBdr>
        <w:spacing w:after="200" w:before="200"/>
      </w:pPr>
    </w:p>
    <w:p>
      <w:pPr>
        <w:spacing w:after="140"/>
      </w:pPr>
      <w:r>
        <w:rPr>
          <w:b w:val="false"/>
          <w:bCs w:val="false"/>
          <w:i w:val="false"/>
          <w:iCs w:val="false"/>
          <w:color w:val="5A6B85"/>
          <w:sz w:val="18"/>
          <w:szCs w:val="18"/>
        </w:rPr>
        <w:t xml:space="preserve">Educational market analysis, not financial advice.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F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2026-08-25T06:46:42.253Z</dcterms:created>
  <dcterms:modified xsi:type="dcterms:W3CDTF">2026-08-25T06:46:42.253Z</dcterms:modified>
</cp:coreProperties>
</file>

<file path=docProps/custom.xml><?xml version="1.0" encoding="utf-8"?>
<Properties xmlns="http://schemas.openxmlformats.org/officeDocument/2006/custom-properties" xmlns:vt="http://schemas.openxmlformats.org/officeDocument/2006/docPropsVTypes"/>
</file>