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week's Levanter Signal is out.</w:t>
      </w:r>
    </w:p>
    <w:p>
      <w:r>
        <w:t>Market intelligence across crypto, foreign exchange and commodities, from a site that models volatility and refuses to pretend it can forecast direction.</w:t>
      </w:r>
    </w:p>
    <w:p>
      <w:r>
        <w:t>Here is this week's Signal in one minute.</w:t>
      </w:r>
    </w:p>
    <w:p>
      <w:r>
        <w:t>What is knowable:</w:t>
      </w:r>
    </w:p>
    <w:p>
      <w:r>
        <w:t>Volatility clusters, so a turbulent-or-calm classification can carry measurable skill. This week the model expects wider ranges in the metals and energy, with calmer conditions across most foreign exchange markets.</w:t>
      </w:r>
    </w:p>
    <w:p>
      <w:r>
        <w:t>On the longer view, bitcoin is trading about 43 percent below the fair value produced by Levanter's long-run valuation fit, which models price against how long the network has existed. That is valuation context, not a price target or a prediction for Friday.</w:t>
      </w:r>
    </w:p>
    <w:p>
      <w:r>
        <w:t>What is not knowable:</w:t>
      </w:r>
    </w:p>
    <w:p>
      <w:r>
        <w:t>Direction.</w:t>
      </w:r>
    </w:p>
    <w:p>
      <w:r>
        <w:t>The current direction scorecard says crypto 49 percent, commodities 62 percent and FX not yet scored. Crypto provides the largest sample, with 320 calls, a 95 percent interval of 44 to 54 percent that straddles the coin-flip line, and its result sits almost exactly at chance.</w:t>
      </w:r>
    </w:p>
    <w:p>
      <w:r>
        <w:t>The commodities figure looks better, but 62 percent from 90 calls, a 95 percent interval of 52 to 71 percent in a strongly trending market does not establish an edge. FX has no resolved calls yet.</w:t>
      </w:r>
    </w:p>
    <w:p>
      <w:r>
        <w:t>Read the individual rows, not a flattering blended number.</w:t>
      </w:r>
    </w:p>
    <w:p>
      <w:r>
        <w:t>That is Levanter's approach: model what can be modelled, identify what cannot, and publish the scorecard.</w:t>
      </w:r>
    </w:p>
    <w:p>
      <w:r>
        <w:t>The Signal is free while we build the list. Subscribe now and you keep receiving it:</w:t>
      </w:r>
    </w:p>
    <w:p>
      <w:hyperlink r:id="rId9">
        <w:r>
          <w:rPr>
            <w:color w:val="1155CC"/>
            <w:u w:val="single"/>
          </w:rPr>
          <w:t>read.levantermarkets.com</w:t>
        </w:r>
      </w:hyperlink>
    </w:p>
    <w:p>
      <w:r>
        <w:t>#markets #bitcoin #crypto #investing #volatility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read.levantermarket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