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4E79"/>
          <w:sz w:val="36"/>
          <w:szCs w:val="36"/>
        </w:rPr>
        <w:t xml:space="preserve">MLB Model Refinement Log — Updated June 8, 2026</w:t>
      </w:r>
    </w:p>
    <w:p>
      <w:r>
        <w:t xml:space="preserve"/>
      </w:r>
    </w:p>
    <w:p>
      <w:pPr>
        <w:pStyle w:val="Heading2"/>
      </w:pPr>
      <w:r>
        <w:rPr>
          <w:rFonts w:ascii="Arial" w:cs="Arial" w:eastAsia="Arial" w:hAnsi="Arial"/>
          <w:b/>
          <w:bCs/>
          <w:color w:val="1F4E79"/>
          <w:sz w:val="26"/>
          <w:szCs w:val="26"/>
        </w:rPr>
        <w:t xml:space="preserve">Executive Summary — First Wave Backtesting (2026 Season)</w:t>
      </w:r>
    </w:p>
    <w:p>
      <w:r>
        <w:t xml:space="preserve"/>
      </w:r>
    </w:p>
    <w:p>
      <w:r>
        <w:rPr>
          <w:rFonts w:ascii="Arial" w:cs="Arial" w:eastAsia="Arial" w:hAnsi="Arial"/>
          <w:sz w:val="20"/>
          <w:szCs w:val="20"/>
        </w:rPr>
        <w:t xml:space="preserve">This log documents the first complete round of empirical backtesting for the MLB pre-game analytics pipeline, conducted across the 2026 season to date. Three core projection metrics were tested: Final Projection (projected batting average), Projected Total Bases, and Projected HR Probability. All testing used actual game outcomes from fact_player_game_results as ground truth, with a minimum 2 AB filter applied throughout. The following table summarises the key changes made and the performance improvement achieved for each metric.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200"/>
        <w:gridCol w:w="2760"/>
      </w:tblGrid>
      <w:tr>
        <w:tc>
          <w:tcPr>
            <w:tcW w:type="dxa" w:w="14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Metric</w:t>
            </w:r>
          </w:p>
        </w:tc>
        <w:tc>
          <w:tcPr>
            <w:tcW w:type="dxa" w:w="20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Parameters Tested</w:t>
            </w:r>
          </w:p>
        </w:tc>
        <w:tc>
          <w:tcPr>
            <w:tcW w:type="dxa" w:w="32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Key Changes Implemented</w:t>
            </w:r>
          </w:p>
        </w:tc>
        <w:tc>
          <w:tcPr>
            <w:tcW w:type="dxa" w:w="27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Performance Improvement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Final Projection (BA)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τ threshold, regression target, baseline split weighting, blend weights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τ: 20→150 | Regression target: league avg→0.22 | Baseline split: 40/60→30/70 | Blend: 40/35/25→70/20/10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MAE: 0.19585→0.18954 (-0.00631) | Bias: +0.02179→+0.00399 | Dir Acc: 51.9%→57.8%</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Projected Total Bases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SLG regression target, SLG blend weights, SLG baseline split, AB/game estimate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SLG target: 0.350→0.380 | SLG blend: 40/35/25→70/20/10 | Baseline: batter-only→30/70 | AB/game: season avg→slot-based empirical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MAE_TB: 1.3678→1.3392 (-0.0286) | BIAS_SLG: +0.0343→-0.0001 | TB bias: +0.0386→+0.0468 (slot fix reduced +1.1133 theoretical bias)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HR Probability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Empirical constants (LEAGUE_AVG_HR_PER_PA, LEAGUE_AVG_BARREL_RATE), BBE threshold, blend weights, output scale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HR/PA: 0.034→0.0293 | Barrel rate: 0.076→0.0708 | BBE: 20→100 | Blend: 45/35/20→70/20/10 | Output: per-PA→per-game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Brier: 0.13740→0.13511 (-0.00229) | Bias: -0.13225→-0.05090 | Output range: 0.02-0.08→0.05-0.20</w:t>
            </w:r>
          </w:p>
        </w:tc>
      </w:tr>
    </w:tbl>
    <w:p>
      <w:r>
        <w:t xml:space="preserve"/>
      </w:r>
    </w:p>
    <w:p>
      <w:r>
        <w:rPr>
          <w:rFonts w:ascii="Arial" w:cs="Arial" w:eastAsia="Arial" w:hAnsi="Arial"/>
          <w:b/>
          <w:bCs/>
          <w:sz w:val="22"/>
          <w:szCs w:val="22"/>
        </w:rPr>
        <w:t xml:space="preserve">Cross-Metric Findings</w:t>
      </w:r>
    </w:p>
    <w:p>
      <w:pPr>
        <w:pStyle w:val="ListParagraph"/>
        <w:numPr>
          <w:ilvl w:val="0"/>
          <w:numId w:val="2"/>
        </w:numPr>
      </w:pPr>
      <w:r>
        <w:rPr>
          <w:rFonts w:ascii="Arial" w:cs="Arial" w:eastAsia="Arial" w:hAnsi="Arial"/>
          <w:sz w:val="20"/>
          <w:szCs w:val="20"/>
        </w:rPr>
        <w:t xml:space="preserve">Baseline handedness data consistently dominated all three metrics — higher baseline weighting improved performance in every test, reflecting that pitcher and batter handedness splits stabilise faster than pitch-type and zone splits at current (8-9 week) sample sizes.</w:t>
      </w:r>
    </w:p>
    <w:p>
      <w:pPr>
        <w:pStyle w:val="ListParagraph"/>
        <w:numPr>
          <w:ilvl w:val="0"/>
          <w:numId w:val="2"/>
        </w:numPr>
      </w:pPr>
      <w:r>
        <w:rPr>
          <w:rFonts w:ascii="Arial" w:cs="Arial" w:eastAsia="Arial" w:hAnsi="Arial"/>
          <w:sz w:val="20"/>
          <w:szCs w:val="20"/>
        </w:rPr>
        <w:t xml:space="preserve">The 70/20/10 blend weight (baseline/pitch-type/zone) was optimal for all three metrics independently, providing a consistent and analytically defensible architecture across the full projection model.</w:t>
      </w:r>
    </w:p>
    <w:p>
      <w:pPr>
        <w:pStyle w:val="ListParagraph"/>
        <w:numPr>
          <w:ilvl w:val="0"/>
          <w:numId w:val="2"/>
        </w:numPr>
      </w:pPr>
      <w:r>
        <w:rPr>
          <w:rFonts w:ascii="Arial" w:cs="Arial" w:eastAsia="Arial" w:hAnsi="Arial"/>
          <w:sz w:val="20"/>
          <w:szCs w:val="20"/>
        </w:rPr>
        <w:t xml:space="preserve">Empirical calibration consistently outperformed assumed constants — observed 2026 values for BA regression target (0.22), SLG regression target (0.380), HR/PA rate (0.0293), and barrel rate (0.0708) all differed meaningfully from initial assumptions and produced better-calibrated outputs when substituted.</w:t>
      </w:r>
    </w:p>
    <w:p>
      <w:pPr>
        <w:pStyle w:val="ListParagraph"/>
        <w:numPr>
          <w:ilvl w:val="0"/>
          <w:numId w:val="2"/>
        </w:numPr>
      </w:pPr>
      <w:r>
        <w:rPr>
          <w:rFonts w:ascii="Arial" w:cs="Arial" w:eastAsia="Arial" w:hAnsi="Arial"/>
          <w:sz w:val="20"/>
          <w:szCs w:val="20"/>
        </w:rPr>
        <w:t xml:space="preserve">HR probability is the weakest model by calibration quality, which is expected — single-game HR prediction is inherently noisy given the rarity of home run events (~11% per-game rate). The model's primary value is relative rank-ordering of batters by HR upside rather than absolute probability calibration.</w:t>
      </w:r>
    </w:p>
    <w:p>
      <w:pPr>
        <w:pStyle w:val="ListParagraph"/>
        <w:numPr>
          <w:ilvl w:val="0"/>
          <w:numId w:val="2"/>
        </w:numPr>
      </w:pPr>
      <w:r>
        <w:rPr>
          <w:rFonts w:ascii="Arial" w:cs="Arial" w:eastAsia="Arial" w:hAnsi="Arial"/>
          <w:sz w:val="20"/>
          <w:szCs w:val="20"/>
        </w:rPr>
        <w:t xml:space="preserve">All tested parameters should be re-evaluated at the end of the 2026 season when full-season split data is available — particularly blend weights, which are expected to shift toward a more balanced mix as batter pitch-type and zone splits accumulate more sample.</w:t>
      </w:r>
    </w:p>
    <w:p>
      <w:r>
        <w:t xml:space="preserve"/>
      </w:r>
    </w:p>
    <w:p>
      <w:pPr>
        <w:pBdr>
          <w:bottom w:val="single" w:color="1F4E79" w:sz="4" w:space="1"/>
        </w:pBdr>
      </w:pPr>
      <w:r>
        <w:t xml:space="preserve"/>
      </w:r>
    </w:p>
    <w:p>
      <w:r>
        <w:t xml:space="preserve"/>
      </w:r>
    </w:p>
    <w:p>
      <w:pPr>
        <w:pStyle w:val="Heading2"/>
      </w:pPr>
      <w:r>
        <w:rPr>
          <w:rFonts w:ascii="Arial" w:cs="Arial" w:eastAsia="Arial" w:hAnsi="Arial"/>
          <w:b/>
          <w:bCs/>
          <w:color w:val="1F4E79"/>
          <w:sz w:val="26"/>
          <w:szCs w:val="26"/>
        </w:rPr>
        <w:t xml:space="preserve">Regression Threshold (τ) &amp; Target — Backtesting Record</w:t>
      </w:r>
    </w:p>
    <w:p>
      <w:r>
        <w:t xml:space="preserve"/>
      </w:r>
    </w:p>
    <w:p>
      <w:r>
        <w:rPr>
          <w:rFonts w:ascii="Arial" w:cs="Arial" w:eastAsia="Arial" w:hAnsi="Arial"/>
          <w:b/>
          <w:bCs/>
          <w:sz w:val="20"/>
          <w:szCs w:val="20"/>
        </w:rPr>
        <w:t xml:space="preserve">Date:</w:t>
      </w:r>
      <w:r>
        <w:rPr>
          <w:rFonts w:ascii="Arial" w:cs="Arial" w:eastAsia="Arial" w:hAnsi="Arial"/>
          <w:sz w:val="20"/>
          <w:szCs w:val="20"/>
        </w:rPr>
        <w:t xml:space="preserve"> May 2026   </w:t>
      </w:r>
      <w:r>
        <w:rPr>
          <w:rFonts w:ascii="Arial" w:cs="Arial" w:eastAsia="Arial" w:hAnsi="Arial"/>
          <w:b/>
          <w:bCs/>
          <w:sz w:val="20"/>
          <w:szCs w:val="20"/>
        </w:rPr>
        <w:t xml:space="preserve">Affected script:</w:t>
      </w:r>
      <w:r>
        <w:rPr>
          <w:rFonts w:ascii="Arial" w:cs="Arial" w:eastAsia="Arial" w:hAnsi="Arial"/>
          <w:sz w:val="20"/>
          <w:szCs w:val="20"/>
        </w:rPr>
        <w:t xml:space="preserve"> ingest/compute_match_scores.py   </w:t>
      </w:r>
      <w:r>
        <w:rPr>
          <w:rFonts w:ascii="Arial" w:cs="Arial" w:eastAsia="Arial" w:hAnsi="Arial"/>
          <w:b/>
          <w:bCs/>
          <w:sz w:val="20"/>
          <w:szCs w:val="20"/>
        </w:rPr>
        <w:t xml:space="preserve">Constants modified:</w:t>
      </w:r>
      <w:r>
        <w:rPr>
          <w:rFonts w:ascii="Arial" w:cs="Arial" w:eastAsia="Arial" w:hAnsi="Arial"/>
          <w:sz w:val="20"/>
          <w:szCs w:val="20"/>
        </w:rPr>
        <w:t xml:space="preserve"> MIN_PITCHES_THRESHOLD, REGRESSION_TARGET (new)</w:t>
      </w:r>
    </w:p>
    <w:p>
      <w:r>
        <w:t xml:space="preserve"/>
      </w:r>
    </w:p>
    <w:p>
      <w:r>
        <w:rPr>
          <w:rFonts w:ascii="Arial" w:cs="Arial" w:eastAsia="Arial" w:hAnsi="Arial"/>
          <w:b/>
          <w:bCs/>
          <w:sz w:val="22"/>
          <w:szCs w:val="22"/>
        </w:rPr>
        <w:t xml:space="preserve">What These Control</w:t>
      </w:r>
    </w:p>
    <w:p>
      <w:r>
        <w:rPr>
          <w:rFonts w:ascii="Arial" w:cs="Arial" w:eastAsia="Arial" w:hAnsi="Arial"/>
          <w:sz w:val="20"/>
          <w:szCs w:val="20"/>
        </w:rPr>
        <w:t xml:space="preserve">When a batter has limited pitch-level history against a specific pitch type or zone, the model can’t fully trust the observed batting average. The regression mechanism blends the observed value toward a fallback target proportionally based on sample size. At zero pitches seen the fallback target is used entirely. At τ pitches seen the observed value is trusted fully.</w:t>
      </w:r>
    </w:p>
    <w:p>
      <w:r>
        <w:t xml:space="preserve"/>
      </w:r>
    </w:p>
    <w:p>
      <w:r>
        <w:rPr>
          <w:rFonts w:ascii="Arial" w:cs="Arial" w:eastAsia="Arial" w:hAnsi="Arial"/>
          <w:b/>
          <w:bCs/>
          <w:sz w:val="22"/>
          <w:szCs w:val="22"/>
        </w:rPr>
        <w:t xml:space="preserve">Original Values</w:t>
      </w:r>
    </w:p>
    <w:p>
      <w:pPr>
        <w:pStyle w:val="ListParagraph"/>
        <w:numPr>
          <w:ilvl w:val="0"/>
          <w:numId w:val="2"/>
        </w:numPr>
      </w:pPr>
      <w:r>
        <w:rPr>
          <w:rFonts w:ascii="Arial" w:cs="Arial" w:eastAsia="Arial" w:hAnsi="Arial"/>
          <w:sz w:val="20"/>
          <w:szCs w:val="20"/>
        </w:rPr>
        <w:t xml:space="preserve">τ = 20 — set by informed judgment at project start, untested empirically</w:t>
      </w:r>
    </w:p>
    <w:p>
      <w:pPr>
        <w:pStyle w:val="ListParagraph"/>
        <w:numPr>
          <w:ilvl w:val="0"/>
          <w:numId w:val="2"/>
        </w:numPr>
      </w:pPr>
      <w:r>
        <w:rPr>
          <w:rFonts w:ascii="Arial" w:cs="Arial" w:eastAsia="Arial" w:hAnsi="Arial"/>
          <w:sz w:val="20"/>
          <w:szCs w:val="20"/>
        </w:rPr>
        <w:t xml:space="preserve">Regression target = per-pitch-type league average (~.243)</w:t>
      </w:r>
    </w:p>
    <w:p>
      <w:r>
        <w:t xml:space="preserve"/>
      </w:r>
    </w:p>
    <w:p>
      <w:r>
        <w:rPr>
          <w:rFonts w:ascii="Arial" w:cs="Arial" w:eastAsia="Arial" w:hAnsi="Arial"/>
          <w:b/>
          <w:bCs/>
          <w:sz w:val="22"/>
          <w:szCs w:val="22"/>
        </w:rPr>
        <w:t xml:space="preserve">Key Findings</w:t>
      </w:r>
    </w:p>
    <w:p>
      <w:pPr>
        <w:pStyle w:val="ListParagraph"/>
        <w:numPr>
          <w:ilvl w:val="0"/>
          <w:numId w:val="2"/>
        </w:numPr>
      </w:pPr>
      <w:r>
        <w:rPr>
          <w:rFonts w:ascii="Arial" w:cs="Arial" w:eastAsia="Arial" w:hAnsi="Arial"/>
          <w:sz w:val="20"/>
          <w:szCs w:val="20"/>
        </w:rPr>
        <w:t xml:space="preserve">MAE improved monotonically as τ increased, but gains flattened sharply above τ=150</w:t>
      </w:r>
    </w:p>
    <w:p>
      <w:pPr>
        <w:pStyle w:val="ListParagraph"/>
        <w:numPr>
          <w:ilvl w:val="0"/>
          <w:numId w:val="2"/>
        </w:numPr>
      </w:pPr>
      <w:r>
        <w:rPr>
          <w:rFonts w:ascii="Arial" w:cs="Arial" w:eastAsia="Arial" w:hAnsi="Arial"/>
          <w:sz w:val="20"/>
          <w:szCs w:val="20"/>
        </w:rPr>
        <w:t xml:space="preserve">Regression target of 0.22 outperformed both league average options at every τ value</w:t>
      </w:r>
    </w:p>
    <w:p>
      <w:pPr>
        <w:pStyle w:val="ListParagraph"/>
        <w:numPr>
          <w:ilvl w:val="0"/>
          <w:numId w:val="2"/>
        </w:numPr>
      </w:pPr>
      <w:r>
        <w:rPr>
          <w:rFonts w:ascii="Arial" w:cs="Arial" w:eastAsia="Arial" w:hAnsi="Arial"/>
          <w:sz w:val="20"/>
          <w:szCs w:val="20"/>
        </w:rPr>
        <w:t xml:space="preserve">τ=150 with target=0.22 produced near-zero bias (+0.00013) — the bias zero-crossing</w:t>
      </w:r>
    </w:p>
    <w:p>
      <w:pPr>
        <w:pStyle w:val="ListParagraph"/>
        <w:numPr>
          <w:ilvl w:val="0"/>
          <w:numId w:val="2"/>
        </w:numPr>
      </w:pPr>
      <w:r>
        <w:rPr>
          <w:rFonts w:ascii="Arial" w:cs="Arial" w:eastAsia="Arial" w:hAnsi="Arial"/>
          <w:sz w:val="20"/>
          <w:szCs w:val="20"/>
        </w:rPr>
        <w:t xml:space="preserve">Direction accuracy improved from 51.9% to 56.4% at τ=150</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Configuration</w:t>
            </w:r>
          </w:p>
        </w:tc>
        <w:tc>
          <w:tcPr>
            <w:tcW w:type="dxa" w:w="1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MAE</w:t>
            </w:r>
          </w:p>
        </w:tc>
        <w:tc>
          <w:tcPr>
            <w:tcW w:type="dxa" w:w="1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Bias</w:t>
            </w:r>
          </w:p>
        </w:tc>
        <w:tc>
          <w:tcPr>
            <w:tcW w:type="dxa" w:w="29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Dir Acc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τ=20, pt_specific (live)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0.19585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+0.02179</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51.9%</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τ=150, 0.22 (implemented)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0.19103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+0.00013</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56.4%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τ=300, 0.22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0.19031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-0.00365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57.7%</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τ=750, 0.22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0.19002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-0.00604</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57.7%</w:t>
            </w:r>
          </w:p>
        </w:tc>
      </w:tr>
    </w:tbl>
    <w:p>
      <w:r>
        <w:t xml:space="preserve"/>
      </w:r>
    </w:p>
    <w:p>
      <w:r>
        <w:rPr>
          <w:rFonts w:ascii="Arial" w:cs="Arial" w:eastAsia="Arial" w:hAnsi="Arial"/>
          <w:b/>
          <w:bCs/>
          <w:sz w:val="22"/>
          <w:szCs w:val="22"/>
        </w:rPr>
        <w:t xml:space="preserve">Decision Rationale</w:t>
      </w:r>
    </w:p>
    <w:p>
      <w:r>
        <w:rPr>
          <w:rFonts w:ascii="Arial" w:cs="Arial" w:eastAsia="Arial" w:hAnsi="Arial"/>
          <w:sz w:val="20"/>
          <w:szCs w:val="20"/>
        </w:rPr>
        <w:t xml:space="preserve">τ=150 selected as the bias zero-crossing. The marginal MAE gains above τ=150 do not justify trading away an essentially unbiased model.</w:t>
      </w:r>
    </w:p>
    <w:p>
      <w:r>
        <w:t xml:space="preserve"/>
      </w:r>
    </w:p>
    <w:p>
      <w:r>
        <w:rPr>
          <w:rFonts w:ascii="Arial" w:cs="Arial" w:eastAsia="Arial" w:hAnsi="Arial"/>
          <w:b/>
          <w:bCs/>
          <w:sz w:val="22"/>
          <w:szCs w:val="22"/>
        </w:rPr>
        <w:t xml:space="preserve">Future Review Triggers</w:t>
      </w:r>
    </w:p>
    <w:p>
      <w:pPr>
        <w:pStyle w:val="ListParagraph"/>
        <w:numPr>
          <w:ilvl w:val="0"/>
          <w:numId w:val="2"/>
        </w:numPr>
      </w:pPr>
      <w:r>
        <w:rPr>
          <w:rFonts w:ascii="Arial" w:cs="Arial" w:eastAsia="Arial" w:hAnsi="Arial"/>
          <w:sz w:val="20"/>
          <w:szCs w:val="20"/>
        </w:rPr>
        <w:t xml:space="preserve">Re-run at end of 2026 season with full-season sample</w:t>
      </w:r>
    </w:p>
    <w:p>
      <w:pPr>
        <w:pStyle w:val="ListParagraph"/>
        <w:numPr>
          <w:ilvl w:val="0"/>
          <w:numId w:val="2"/>
        </w:numPr>
      </w:pPr>
      <w:r>
        <w:rPr>
          <w:rFonts w:ascii="Arial" w:cs="Arial" w:eastAsia="Arial" w:hAnsi="Arial"/>
          <w:sz w:val="20"/>
          <w:szCs w:val="20"/>
        </w:rPr>
        <w:t xml:space="preserve">Re-evaluate regression target annually — 0.22 reflects 2026 early-season observed BA</w:t>
      </w:r>
    </w:p>
    <w:p>
      <w:r>
        <w:t xml:space="preserve"/>
      </w:r>
    </w:p>
    <w:p>
      <w:pPr>
        <w:pBdr>
          <w:bottom w:val="single" w:color="1F4E79" w:sz="4" w:space="1"/>
        </w:pBdr>
      </w:pPr>
      <w:r>
        <w:t xml:space="preserve"/>
      </w:r>
    </w:p>
    <w:p>
      <w:r>
        <w:t xml:space="preserve"/>
      </w:r>
    </w:p>
    <w:p>
      <w:pPr>
        <w:pStyle w:val="Heading2"/>
      </w:pPr>
      <w:r>
        <w:rPr>
          <w:rFonts w:ascii="Arial" w:cs="Arial" w:eastAsia="Arial" w:hAnsi="Arial"/>
          <w:b/>
          <w:bCs/>
          <w:color w:val="1F4E79"/>
          <w:sz w:val="26"/>
          <w:szCs w:val="26"/>
        </w:rPr>
        <w:t xml:space="preserve">Baseline Split Weighting — Backtesting Record</w:t>
      </w:r>
    </w:p>
    <w:p>
      <w:r>
        <w:t xml:space="preserve"/>
      </w:r>
    </w:p>
    <w:p>
      <w:r>
        <w:rPr>
          <w:rFonts w:ascii="Arial" w:cs="Arial" w:eastAsia="Arial" w:hAnsi="Arial"/>
          <w:b/>
          <w:bCs/>
          <w:sz w:val="20"/>
          <w:szCs w:val="20"/>
        </w:rPr>
        <w:t xml:space="preserve">Date:</w:t>
      </w:r>
      <w:r>
        <w:rPr>
          <w:rFonts w:ascii="Arial" w:cs="Arial" w:eastAsia="Arial" w:hAnsi="Arial"/>
          <w:sz w:val="20"/>
          <w:szCs w:val="20"/>
        </w:rPr>
        <w:t xml:space="preserve"> May 2026   </w:t>
      </w:r>
      <w:r>
        <w:rPr>
          <w:rFonts w:ascii="Arial" w:cs="Arial" w:eastAsia="Arial" w:hAnsi="Arial"/>
          <w:b/>
          <w:bCs/>
          <w:sz w:val="20"/>
          <w:szCs w:val="20"/>
        </w:rPr>
        <w:t xml:space="preserve">Affected script:</w:t>
      </w:r>
      <w:r>
        <w:rPr>
          <w:rFonts w:ascii="Arial" w:cs="Arial" w:eastAsia="Arial" w:hAnsi="Arial"/>
          <w:sz w:val="20"/>
          <w:szCs w:val="20"/>
        </w:rPr>
        <w:t xml:space="preserve"> ingest/compute_match_scores.py   </w:t>
      </w:r>
      <w:r>
        <w:rPr>
          <w:rFonts w:ascii="Arial" w:cs="Arial" w:eastAsia="Arial" w:hAnsi="Arial"/>
          <w:b/>
          <w:bCs/>
          <w:sz w:val="20"/>
          <w:szCs w:val="20"/>
        </w:rPr>
        <w:t xml:space="preserve">Constants modified:</w:t>
      </w:r>
      <w:r>
        <w:rPr>
          <w:rFonts w:ascii="Arial" w:cs="Arial" w:eastAsia="Arial" w:hAnsi="Arial"/>
          <w:sz w:val="20"/>
          <w:szCs w:val="20"/>
        </w:rPr>
        <w:t xml:space="preserve"> Baseline blend (batter 0.40→0.30, pitcher 0.60→0.70)</w:t>
      </w:r>
    </w:p>
    <w:p>
      <w:r>
        <w:t xml:space="preserve"/>
      </w:r>
    </w:p>
    <w:p>
      <w:r>
        <w:rPr>
          <w:rFonts w:ascii="Arial" w:cs="Arial" w:eastAsia="Arial" w:hAnsi="Arial"/>
          <w:b/>
          <w:bCs/>
          <w:sz w:val="22"/>
          <w:szCs w:val="22"/>
        </w:rPr>
        <w:t xml:space="preserve">What This Controls</w:t>
      </w:r>
    </w:p>
    <w:p>
      <w:r>
        <w:rPr>
          <w:rFonts w:ascii="Arial" w:cs="Arial" w:eastAsia="Arial" w:hAnsi="Arial"/>
          <w:sz w:val="20"/>
          <w:szCs w:val="20"/>
        </w:rPr>
        <w:t xml:space="preserve">The baseline handedness split combines batter BA vs pitcher hand with pitcher BA-allowed vs batter hand. The original 40/60 split was set by judgment, untested empirically.</w:t>
      </w:r>
    </w:p>
    <w:p>
      <w:r>
        <w:t xml:space="preserve"/>
      </w:r>
    </w:p>
    <w:p>
      <w:r>
        <w:rPr>
          <w:rFonts w:ascii="Arial" w:cs="Arial" w:eastAsia="Arial" w:hAnsi="Arial"/>
          <w:b/>
          <w:bCs/>
          <w:sz w:val="22"/>
          <w:szCs w:val="22"/>
        </w:rPr>
        <w:t xml:space="preserve">Key Findings</w:t>
      </w:r>
    </w:p>
    <w:p>
      <w:pPr>
        <w:pStyle w:val="ListParagraph"/>
        <w:numPr>
          <w:ilvl w:val="0"/>
          <w:numId w:val="2"/>
        </w:numPr>
      </w:pPr>
      <w:r>
        <w:rPr>
          <w:rFonts w:ascii="Arial" w:cs="Arial" w:eastAsia="Arial" w:hAnsi="Arial"/>
          <w:sz w:val="20"/>
          <w:szCs w:val="20"/>
        </w:rPr>
        <w:t xml:space="preserve">Increasing pitcher weight consistently improved MAE and reduced bias</w:t>
      </w:r>
    </w:p>
    <w:p>
      <w:pPr>
        <w:pStyle w:val="ListParagraph"/>
        <w:numPr>
          <w:ilvl w:val="0"/>
          <w:numId w:val="2"/>
        </w:numPr>
      </w:pPr>
      <w:r>
        <w:rPr>
          <w:rFonts w:ascii="Arial" w:cs="Arial" w:eastAsia="Arial" w:hAnsi="Arial"/>
          <w:sz w:val="20"/>
          <w:szCs w:val="20"/>
        </w:rPr>
        <w:t xml:space="preserve">Bias improved monotonically as pitcher weight increased — pitcher splits stabilise faster at current sample sizes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60"/>
      </w:tblGrid>
      <w:tr>
        <w:tc>
          <w:tcPr>
            <w:tcW w:type="dxa" w:w="32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Configuration</w:t>
            </w:r>
          </w:p>
        </w:tc>
        <w:tc>
          <w:tcPr>
            <w:tcW w:type="dxa" w:w="1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MAE</w:t>
            </w:r>
          </w:p>
        </w:tc>
        <w:tc>
          <w:tcPr>
            <w:tcW w:type="dxa" w:w="1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Bias</w:t>
            </w:r>
          </w:p>
        </w:tc>
        <w:tc>
          <w:tcPr>
            <w:tcW w:type="dxa" w:w="25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Dir Acc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batter=0.30, pitcher=0.70 (implemented)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0.19199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+0.01622</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54.82%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batter=0.40, pitcher=0.60 (live)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0.19211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+0.01635</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54.76%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batter=0.50, pitcher=0.50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0.19225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+0.01649</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54.55%</w:t>
            </w:r>
          </w:p>
        </w:tc>
      </w:tr>
    </w:tbl>
    <w:p>
      <w:r>
        <w:t xml:space="preserve"/>
      </w:r>
    </w:p>
    <w:p>
      <w:r>
        <w:rPr>
          <w:rFonts w:ascii="Arial" w:cs="Arial" w:eastAsia="Arial" w:hAnsi="Arial"/>
          <w:b/>
          <w:bCs/>
          <w:sz w:val="22"/>
          <w:szCs w:val="22"/>
        </w:rPr>
        <w:t xml:space="preserve">Future Review Triggers</w:t>
      </w:r>
    </w:p>
    <w:p>
      <w:pPr>
        <w:pStyle w:val="ListParagraph"/>
        <w:numPr>
          <w:ilvl w:val="0"/>
          <w:numId w:val="2"/>
        </w:numPr>
      </w:pPr>
      <w:r>
        <w:rPr>
          <w:rFonts w:ascii="Arial" w:cs="Arial" w:eastAsia="Arial" w:hAnsi="Arial"/>
          <w:sz w:val="20"/>
          <w:szCs w:val="20"/>
        </w:rPr>
        <w:t xml:space="preserve">Re-run at end of 2026 season — may converge toward 50/50 as batter samples grow</w:t>
      </w:r>
    </w:p>
    <w:p>
      <w:r>
        <w:t xml:space="preserve"/>
      </w:r>
    </w:p>
    <w:p>
      <w:pPr>
        <w:pBdr>
          <w:bottom w:val="single" w:color="1F4E79" w:sz="4" w:space="1"/>
        </w:pBdr>
      </w:pPr>
      <w:r>
        <w:t xml:space="preserve"/>
      </w:r>
    </w:p>
    <w:p>
      <w:r>
        <w:t xml:space="preserve"/>
      </w:r>
    </w:p>
    <w:p>
      <w:pPr>
        <w:pStyle w:val="Heading2"/>
      </w:pPr>
      <w:r>
        <w:rPr>
          <w:rFonts w:ascii="Arial" w:cs="Arial" w:eastAsia="Arial" w:hAnsi="Arial"/>
          <w:b/>
          <w:bCs/>
          <w:color w:val="1F4E79"/>
          <w:sz w:val="26"/>
          <w:szCs w:val="26"/>
        </w:rPr>
        <w:t xml:space="preserve">Blend Weights — Backtesting Record</w:t>
      </w:r>
    </w:p>
    <w:p>
      <w:r>
        <w:t xml:space="preserve"/>
      </w:r>
    </w:p>
    <w:p>
      <w:r>
        <w:rPr>
          <w:rFonts w:ascii="Arial" w:cs="Arial" w:eastAsia="Arial" w:hAnsi="Arial"/>
          <w:b/>
          <w:bCs/>
          <w:sz w:val="20"/>
          <w:szCs w:val="20"/>
        </w:rPr>
        <w:t xml:space="preserve">Date:</w:t>
      </w:r>
      <w:r>
        <w:rPr>
          <w:rFonts w:ascii="Arial" w:cs="Arial" w:eastAsia="Arial" w:hAnsi="Arial"/>
          <w:sz w:val="20"/>
          <w:szCs w:val="20"/>
        </w:rPr>
        <w:t xml:space="preserve"> May 2026   </w:t>
      </w:r>
      <w:r>
        <w:rPr>
          <w:rFonts w:ascii="Arial" w:cs="Arial" w:eastAsia="Arial" w:hAnsi="Arial"/>
          <w:b/>
          <w:bCs/>
          <w:sz w:val="20"/>
          <w:szCs w:val="20"/>
        </w:rPr>
        <w:t xml:space="preserve">Affected script:</w:t>
      </w:r>
      <w:r>
        <w:rPr>
          <w:rFonts w:ascii="Arial" w:cs="Arial" w:eastAsia="Arial" w:hAnsi="Arial"/>
          <w:sz w:val="20"/>
          <w:szCs w:val="20"/>
        </w:rPr>
        <w:t xml:space="preserve"> ingest/compute_match_scores.py   </w:t>
      </w:r>
      <w:r>
        <w:rPr>
          <w:rFonts w:ascii="Arial" w:cs="Arial" w:eastAsia="Arial" w:hAnsi="Arial"/>
          <w:b/>
          <w:bCs/>
          <w:sz w:val="20"/>
          <w:szCs w:val="20"/>
        </w:rPr>
        <w:t xml:space="preserve">Constants modified:</w:t>
      </w:r>
      <w:r>
        <w:rPr>
          <w:rFonts w:ascii="Arial" w:cs="Arial" w:eastAsia="Arial" w:hAnsi="Arial"/>
          <w:sz w:val="20"/>
          <w:szCs w:val="20"/>
        </w:rPr>
        <w:t xml:space="preserve"> Blend weights (0.40/0.35/0.25→0.70/0.20/0.10)</w:t>
      </w:r>
    </w:p>
    <w:p>
      <w:r>
        <w:t xml:space="preserve"/>
      </w:r>
    </w:p>
    <w:p>
      <w:r>
        <w:rPr>
          <w:rFonts w:ascii="Arial" w:cs="Arial" w:eastAsia="Arial" w:hAnsi="Arial"/>
          <w:b/>
          <w:bCs/>
          <w:sz w:val="22"/>
          <w:szCs w:val="22"/>
        </w:rPr>
        <w:t xml:space="preserve">Key Findings</w:t>
      </w:r>
    </w:p>
    <w:p>
      <w:pPr>
        <w:pStyle w:val="ListParagraph"/>
        <w:numPr>
          <w:ilvl w:val="0"/>
          <w:numId w:val="2"/>
        </w:numPr>
      </w:pPr>
      <w:r>
        <w:rPr>
          <w:rFonts w:ascii="Arial" w:cs="Arial" w:eastAsia="Arial" w:hAnsi="Arial"/>
          <w:sz w:val="20"/>
          <w:szCs w:val="20"/>
        </w:rPr>
        <w:t xml:space="preserve">Baseline weight dominant lever — every step from 0.30 to 0.75 improved MAE monotonically</w:t>
      </w:r>
    </w:p>
    <w:p>
      <w:pPr>
        <w:pStyle w:val="ListParagraph"/>
        <w:numPr>
          <w:ilvl w:val="0"/>
          <w:numId w:val="2"/>
        </w:numPr>
      </w:pPr>
      <w:r>
        <w:rPr>
          <w:rFonts w:ascii="Arial" w:cs="Arial" w:eastAsia="Arial" w:hAnsi="Arial"/>
          <w:sz w:val="20"/>
          <w:szCs w:val="20"/>
        </w:rPr>
        <w:t xml:space="preserve">PT score sweet spot at 0.20–0.25; zone score best at 0.10</w:t>
      </w:r>
    </w:p>
    <w:p>
      <w:pPr>
        <w:pStyle w:val="ListParagraph"/>
        <w:numPr>
          <w:ilvl w:val="0"/>
          <w:numId w:val="2"/>
        </w:numPr>
      </w:pPr>
      <w:r>
        <w:rPr>
          <w:rFonts w:ascii="Arial" w:cs="Arial" w:eastAsia="Arial" w:hAnsi="Arial"/>
          <w:sz w:val="20"/>
          <w:szCs w:val="20"/>
        </w:rPr>
        <w:t xml:space="preserve">Bias approached zero-crossing at baseline=0.70 (+0.00399); dir accuracy improved 51.86%→57.81%</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60"/>
      </w:tblGrid>
      <w:tr>
        <w:tc>
          <w:tcPr>
            <w:tcW w:type="dxa" w:w="32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Configuration</w:t>
            </w:r>
          </w:p>
        </w:tc>
        <w:tc>
          <w:tcPr>
            <w:tcW w:type="dxa" w:w="1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MAE</w:t>
            </w:r>
          </w:p>
        </w:tc>
        <w:tc>
          <w:tcPr>
            <w:tcW w:type="dxa" w:w="1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Bias</w:t>
            </w:r>
          </w:p>
        </w:tc>
        <w:tc>
          <w:tcPr>
            <w:tcW w:type="dxa" w:w="25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Dir Acc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0.40/0.35/0.25 (live)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0.19593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+0.02282</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51.86%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0.70/0.20/0.10 (implemented)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0.18954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+0.00399</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57.81%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0.75/0.15/0.10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0.18931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+0.00329</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58.14%</w:t>
            </w:r>
          </w:p>
        </w:tc>
      </w:tr>
    </w:tbl>
    <w:p>
      <w:r>
        <w:t xml:space="preserve"/>
      </w:r>
    </w:p>
    <w:p>
      <w:r>
        <w:rPr>
          <w:rFonts w:ascii="Arial" w:cs="Arial" w:eastAsia="Arial" w:hAnsi="Arial"/>
          <w:b/>
          <w:bCs/>
          <w:sz w:val="22"/>
          <w:szCs w:val="22"/>
        </w:rPr>
        <w:t xml:space="preserve">Decision Rationale</w:t>
      </w:r>
    </w:p>
    <w:p>
      <w:r>
        <w:rPr>
          <w:rFonts w:ascii="Arial" w:cs="Arial" w:eastAsia="Arial" w:hAnsi="Arial"/>
          <w:sz w:val="20"/>
          <w:szCs w:val="20"/>
        </w:rPr>
        <w:t xml:space="preserve">0.70/0.20/0.10 selected over higher configurations: marginal MAE gains above 0.70 are small while bias remains near zero. Preserves a defensible story: 70% baseline, 20% pitch type context, 10% zone context.</w:t>
      </w:r>
    </w:p>
    <w:p>
      <w:r>
        <w:t xml:space="preserve"/>
      </w:r>
    </w:p>
    <w:p>
      <w:r>
        <w:rPr>
          <w:rFonts w:ascii="Arial" w:cs="Arial" w:eastAsia="Arial" w:hAnsi="Arial"/>
          <w:b/>
          <w:bCs/>
          <w:sz w:val="22"/>
          <w:szCs w:val="22"/>
        </w:rPr>
        <w:t xml:space="preserve">Future Review Triggers</w:t>
      </w:r>
    </w:p>
    <w:p>
      <w:pPr>
        <w:pStyle w:val="ListParagraph"/>
        <w:numPr>
          <w:ilvl w:val="0"/>
          <w:numId w:val="2"/>
        </w:numPr>
      </w:pPr>
      <w:r>
        <w:rPr>
          <w:rFonts w:ascii="Arial" w:cs="Arial" w:eastAsia="Arial" w:hAnsi="Arial"/>
          <w:sz w:val="20"/>
          <w:szCs w:val="20"/>
        </w:rPr>
        <w:t xml:space="preserve">Re-run at end of 2026 season — pt/zone weights expected to increase as splits stabilise</w:t>
      </w:r>
    </w:p>
    <w:p>
      <w:r>
        <w:t xml:space="preserve"/>
      </w:r>
    </w:p>
    <w:p>
      <w:pPr>
        <w:pBdr>
          <w:bottom w:val="single" w:color="1F4E79" w:sz="4" w:space="1"/>
        </w:pBdr>
      </w:pPr>
      <w:r>
        <w:t xml:space="preserve"/>
      </w:r>
    </w:p>
    <w:p>
      <w:r>
        <w:t xml:space="preserve"/>
      </w:r>
    </w:p>
    <w:p>
      <w:pPr>
        <w:pStyle w:val="Heading2"/>
      </w:pPr>
      <w:r>
        <w:rPr>
          <w:rFonts w:ascii="Arial" w:cs="Arial" w:eastAsia="Arial" w:hAnsi="Arial"/>
          <w:b/>
          <w:bCs/>
          <w:color w:val="1F4E79"/>
          <w:sz w:val="26"/>
          <w:szCs w:val="26"/>
        </w:rPr>
        <w:t xml:space="preserve">SLG Regression Target &amp; Blend Weights — Projected Total Bases</w:t>
      </w:r>
    </w:p>
    <w:p>
      <w:r>
        <w:t xml:space="preserve"/>
      </w:r>
    </w:p>
    <w:p>
      <w:r>
        <w:rPr>
          <w:rFonts w:ascii="Arial" w:cs="Arial" w:eastAsia="Arial" w:hAnsi="Arial"/>
          <w:b/>
          <w:bCs/>
          <w:sz w:val="20"/>
          <w:szCs w:val="20"/>
        </w:rPr>
        <w:t xml:space="preserve">Date:</w:t>
      </w:r>
      <w:r>
        <w:rPr>
          <w:rFonts w:ascii="Arial" w:cs="Arial" w:eastAsia="Arial" w:hAnsi="Arial"/>
          <w:sz w:val="20"/>
          <w:szCs w:val="20"/>
        </w:rPr>
        <w:t xml:space="preserve"> June 2026   </w:t>
      </w:r>
      <w:r>
        <w:rPr>
          <w:rFonts w:ascii="Arial" w:cs="Arial" w:eastAsia="Arial" w:hAnsi="Arial"/>
          <w:b/>
          <w:bCs/>
          <w:sz w:val="20"/>
          <w:szCs w:val="20"/>
        </w:rPr>
        <w:t xml:space="preserve">Affected script:</w:t>
      </w:r>
      <w:r>
        <w:rPr>
          <w:rFonts w:ascii="Arial" w:cs="Arial" w:eastAsia="Arial" w:hAnsi="Arial"/>
          <w:sz w:val="20"/>
          <w:szCs w:val="20"/>
        </w:rPr>
        <w:t xml:space="preserve"> ingest/compute_match_scores.py   </w:t>
      </w:r>
      <w:r>
        <w:rPr>
          <w:rFonts w:ascii="Arial" w:cs="Arial" w:eastAsia="Arial" w:hAnsi="Arial"/>
          <w:b/>
          <w:bCs/>
          <w:sz w:val="20"/>
          <w:szCs w:val="20"/>
        </w:rPr>
        <w:t xml:space="preserve">Constants modified:</w:t>
      </w:r>
      <w:r>
        <w:rPr>
          <w:rFonts w:ascii="Arial" w:cs="Arial" w:eastAsia="Arial" w:hAnsi="Arial"/>
          <w:sz w:val="20"/>
          <w:szCs w:val="20"/>
        </w:rPr>
        <w:t xml:space="preserve"> SLG_REGRESSION_TARGET (0.350→0.380), SLG blend (0.40/0.35/0.25→0.70/0.20/0.10)</w:t>
      </w:r>
    </w:p>
    <w:p>
      <w:r>
        <w:t xml:space="preserve"/>
      </w:r>
    </w:p>
    <w:p>
      <w:r>
        <w:rPr>
          <w:rFonts w:ascii="Arial" w:cs="Arial" w:eastAsia="Arial" w:hAnsi="Arial"/>
          <w:b/>
          <w:bCs/>
          <w:sz w:val="22"/>
          <w:szCs w:val="22"/>
        </w:rPr>
        <w:t xml:space="preserve">Key Findings</w:t>
      </w:r>
    </w:p>
    <w:p>
      <w:pPr>
        <w:pStyle w:val="ListParagraph"/>
        <w:numPr>
          <w:ilvl w:val="0"/>
          <w:numId w:val="2"/>
        </w:numPr>
      </w:pPr>
      <w:r>
        <w:rPr>
          <w:rFonts w:ascii="Arial" w:cs="Arial" w:eastAsia="Arial" w:hAnsi="Arial"/>
          <w:sz w:val="20"/>
          <w:szCs w:val="20"/>
        </w:rPr>
        <w:t xml:space="preserve">SLG target 0.380 produced near-zero SLG bias (BIAS_SLG = -0.0001) — the bias zero-crossing at the SLG projection level</w:t>
      </w:r>
    </w:p>
    <w:p>
      <w:pPr>
        <w:pStyle w:val="ListParagraph"/>
        <w:numPr>
          <w:ilvl w:val="0"/>
          <w:numId w:val="2"/>
        </w:numPr>
      </w:pPr>
      <w:r>
        <w:rPr>
          <w:rFonts w:ascii="Arial" w:cs="Arial" w:eastAsia="Arial" w:hAnsi="Arial"/>
          <w:sz w:val="20"/>
          <w:szCs w:val="20"/>
        </w:rPr>
        <w:t xml:space="preserve">Remaining TB bias confirmed attributable to AB/game multiplier, not SLG projection error</w:t>
      </w:r>
    </w:p>
    <w:p>
      <w:pPr>
        <w:pStyle w:val="ListParagraph"/>
        <w:numPr>
          <w:ilvl w:val="0"/>
          <w:numId w:val="2"/>
        </w:numPr>
      </w:pPr>
      <w:r>
        <w:rPr>
          <w:rFonts w:ascii="Arial" w:cs="Arial" w:eastAsia="Arial" w:hAnsi="Arial"/>
          <w:sz w:val="20"/>
          <w:szCs w:val="20"/>
        </w:rPr>
        <w:t xml:space="preserve">Same baseline dominance pattern as BA — 0.70/0.20/0.10 optimal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800"/>
        <w:gridCol w:w="1960"/>
      </w:tblGrid>
      <w:tr>
        <w:tc>
          <w:tcPr>
            <w:tcW w:type="dxa" w:w="2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Configuration</w:t>
            </w:r>
          </w:p>
        </w:tc>
        <w:tc>
          <w:tcPr>
            <w:tcW w:type="dxa" w:w="14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MAE_TB</w:t>
            </w:r>
          </w:p>
        </w:tc>
        <w:tc>
          <w:tcPr>
            <w:tcW w:type="dxa" w:w="14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BIAS_TB</w:t>
            </w:r>
          </w:p>
        </w:tc>
        <w:tc>
          <w:tcPr>
            <w:tcW w:type="dxa" w:w="1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MAE_SLG</w:t>
            </w:r>
          </w:p>
        </w:tc>
        <w:tc>
          <w:tcPr>
            <w:tcW w:type="dxa" w:w="19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BIAS_SLG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0.40/0.35/0.25, target=0.350 (original)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1.3678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+0.0386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0.3729</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+0.0343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0.70/0.20/0.10, target=0.380 (implemented)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1.3392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-0.0196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0.3573</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-0.0001</w:t>
            </w:r>
          </w:p>
        </w:tc>
      </w:tr>
    </w:tbl>
    <w:p>
      <w:r>
        <w:t xml:space="preserve"/>
      </w:r>
    </w:p>
    <w:p>
      <w:r>
        <w:rPr>
          <w:rFonts w:ascii="Arial" w:cs="Arial" w:eastAsia="Arial" w:hAnsi="Arial"/>
          <w:b/>
          <w:bCs/>
          <w:sz w:val="22"/>
          <w:szCs w:val="22"/>
        </w:rPr>
        <w:t xml:space="preserve">Future Review Triggers</w:t>
      </w:r>
    </w:p>
    <w:p>
      <w:pPr>
        <w:pStyle w:val="ListParagraph"/>
        <w:numPr>
          <w:ilvl w:val="0"/>
          <w:numId w:val="2"/>
        </w:numPr>
      </w:pPr>
      <w:r>
        <w:rPr>
          <w:rFonts w:ascii="Arial" w:cs="Arial" w:eastAsia="Arial" w:hAnsi="Arial"/>
          <w:sz w:val="20"/>
          <w:szCs w:val="20"/>
        </w:rPr>
        <w:t xml:space="preserve">Re-run at end of 2026 season — SLG target and blend weights expected to shift</w:t>
      </w:r>
    </w:p>
    <w:p>
      <w:r>
        <w:t xml:space="preserve"/>
      </w:r>
    </w:p>
    <w:p>
      <w:pPr>
        <w:pBdr>
          <w:bottom w:val="single" w:color="1F4E79" w:sz="4" w:space="1"/>
        </w:pBdr>
      </w:pPr>
      <w:r>
        <w:t xml:space="preserve"/>
      </w:r>
    </w:p>
    <w:p>
      <w:r>
        <w:t xml:space="preserve"/>
      </w:r>
    </w:p>
    <w:p>
      <w:pPr>
        <w:pStyle w:val="Heading2"/>
      </w:pPr>
      <w:r>
        <w:rPr>
          <w:rFonts w:ascii="Arial" w:cs="Arial" w:eastAsia="Arial" w:hAnsi="Arial"/>
          <w:b/>
          <w:bCs/>
          <w:color w:val="1F4E79"/>
          <w:sz w:val="26"/>
          <w:szCs w:val="26"/>
        </w:rPr>
        <w:t xml:space="preserve">SLG Baseline Split Weighting — Projected Total Bases</w:t>
      </w:r>
    </w:p>
    <w:p>
      <w:r>
        <w:t xml:space="preserve"/>
      </w:r>
    </w:p>
    <w:p>
      <w:r>
        <w:rPr>
          <w:rFonts w:ascii="Arial" w:cs="Arial" w:eastAsia="Arial" w:hAnsi="Arial"/>
          <w:b/>
          <w:bCs/>
          <w:sz w:val="20"/>
          <w:szCs w:val="20"/>
        </w:rPr>
        <w:t xml:space="preserve">Date:</w:t>
      </w:r>
      <w:r>
        <w:rPr>
          <w:rFonts w:ascii="Arial" w:cs="Arial" w:eastAsia="Arial" w:hAnsi="Arial"/>
          <w:sz w:val="20"/>
          <w:szCs w:val="20"/>
        </w:rPr>
        <w:t xml:space="preserve"> June 2026   </w:t>
      </w:r>
      <w:r>
        <w:rPr>
          <w:rFonts w:ascii="Arial" w:cs="Arial" w:eastAsia="Arial" w:hAnsi="Arial"/>
          <w:b/>
          <w:bCs/>
          <w:sz w:val="20"/>
          <w:szCs w:val="20"/>
        </w:rPr>
        <w:t xml:space="preserve">Affected script:</w:t>
      </w:r>
      <w:r>
        <w:rPr>
          <w:rFonts w:ascii="Arial" w:cs="Arial" w:eastAsia="Arial" w:hAnsi="Arial"/>
          <w:sz w:val="20"/>
          <w:szCs w:val="20"/>
        </w:rPr>
        <w:t xml:space="preserve"> ingest/compute_match_scores.py   </w:t>
      </w:r>
      <w:r>
        <w:rPr>
          <w:rFonts w:ascii="Arial" w:cs="Arial" w:eastAsia="Arial" w:hAnsi="Arial"/>
          <w:b/>
          <w:bCs/>
          <w:sz w:val="20"/>
          <w:szCs w:val="20"/>
        </w:rPr>
        <w:t xml:space="preserve">Constants modified:</w:t>
      </w:r>
      <w:r>
        <w:rPr>
          <w:rFonts w:ascii="Arial" w:cs="Arial" w:eastAsia="Arial" w:hAnsi="Arial"/>
          <w:sz w:val="20"/>
          <w:szCs w:val="20"/>
        </w:rPr>
        <w:t xml:space="preserve"> SLG baseline now incorporates pitcher SLG-allowed at 30/70 batter/pitcher weighting</w:t>
      </w:r>
    </w:p>
    <w:p>
      <w:r>
        <w:t xml:space="preserve"/>
      </w:r>
    </w:p>
    <w:p>
      <w:r>
        <w:rPr>
          <w:rFonts w:ascii="Arial" w:cs="Arial" w:eastAsia="Arial" w:hAnsi="Arial"/>
          <w:sz w:val="20"/>
          <w:szCs w:val="20"/>
        </w:rPr>
        <w:t xml:space="preserve">The SLG baseline previously used only the batter’s observed SLG vs pitcher hand. The fix incorporates slugging_pct_allowed from fact_pitcher_hand_splits at the same 30/70 weighting validated for BA. No separate grid search was run — the BA-validated weighting was applied directly, confirmed through the SLG target backtest which showed BIAS_SLG near zero at target=0.380.</w:t>
      </w:r>
    </w:p>
    <w:p>
      <w:r>
        <w:t xml:space="preserve"/>
      </w:r>
    </w:p>
    <w:p>
      <w:r>
        <w:rPr>
          <w:rFonts w:ascii="Arial" w:cs="Arial" w:eastAsia="Arial" w:hAnsi="Arial"/>
          <w:b/>
          <w:bCs/>
          <w:sz w:val="22"/>
          <w:szCs w:val="22"/>
        </w:rPr>
        <w:t xml:space="preserve">Future Review Triggers</w:t>
      </w:r>
    </w:p>
    <w:p>
      <w:pPr>
        <w:pStyle w:val="ListParagraph"/>
        <w:numPr>
          <w:ilvl w:val="0"/>
          <w:numId w:val="2"/>
        </w:numPr>
      </w:pPr>
      <w:r>
        <w:rPr>
          <w:rFonts w:ascii="Arial" w:cs="Arial" w:eastAsia="Arial" w:hAnsi="Arial"/>
          <w:sz w:val="20"/>
          <w:szCs w:val="20"/>
        </w:rPr>
        <w:t xml:space="preserve">If BA optimal baseline split shifts at season-end re-evaluation, apply the same updated weighting to SLG baseline</w:t>
      </w:r>
    </w:p>
    <w:p>
      <w:r>
        <w:t xml:space="preserve"/>
      </w:r>
    </w:p>
    <w:p>
      <w:pPr>
        <w:pBdr>
          <w:bottom w:val="single" w:color="1F4E79" w:sz="4" w:space="1"/>
        </w:pBdr>
      </w:pPr>
      <w:r>
        <w:t xml:space="preserve"/>
      </w:r>
    </w:p>
    <w:p>
      <w:r>
        <w:t xml:space="preserve"/>
      </w:r>
    </w:p>
    <w:p>
      <w:pPr>
        <w:pStyle w:val="Heading2"/>
      </w:pPr>
      <w:r>
        <w:rPr>
          <w:rFonts w:ascii="Arial" w:cs="Arial" w:eastAsia="Arial" w:hAnsi="Arial"/>
          <w:b/>
          <w:bCs/>
          <w:color w:val="1F4E79"/>
          <w:sz w:val="26"/>
          <w:szCs w:val="26"/>
        </w:rPr>
        <w:t xml:space="preserve">AB/Game Estimate — Lineup Slot Based</w:t>
      </w:r>
    </w:p>
    <w:p>
      <w:r>
        <w:t xml:space="preserve"/>
      </w:r>
    </w:p>
    <w:p>
      <w:r>
        <w:rPr>
          <w:rFonts w:ascii="Arial" w:cs="Arial" w:eastAsia="Arial" w:hAnsi="Arial"/>
          <w:b/>
          <w:bCs/>
          <w:sz w:val="20"/>
          <w:szCs w:val="20"/>
        </w:rPr>
        <w:t xml:space="preserve">Date:</w:t>
      </w:r>
      <w:r>
        <w:rPr>
          <w:rFonts w:ascii="Arial" w:cs="Arial" w:eastAsia="Arial" w:hAnsi="Arial"/>
          <w:sz w:val="20"/>
          <w:szCs w:val="20"/>
        </w:rPr>
        <w:t xml:space="preserve"> June 2026   </w:t>
      </w:r>
      <w:r>
        <w:rPr>
          <w:rFonts w:ascii="Arial" w:cs="Arial" w:eastAsia="Arial" w:hAnsi="Arial"/>
          <w:b/>
          <w:bCs/>
          <w:sz w:val="20"/>
          <w:szCs w:val="20"/>
        </w:rPr>
        <w:t xml:space="preserve">Affected script:</w:t>
      </w:r>
      <w:r>
        <w:rPr>
          <w:rFonts w:ascii="Arial" w:cs="Arial" w:eastAsia="Arial" w:hAnsi="Arial"/>
          <w:sz w:val="20"/>
          <w:szCs w:val="20"/>
        </w:rPr>
        <w:t xml:space="preserve"> ingest/compute_match_scores.py   </w:t>
      </w:r>
      <w:r>
        <w:rPr>
          <w:rFonts w:ascii="Arial" w:cs="Arial" w:eastAsia="Arial" w:hAnsi="Arial"/>
          <w:b/>
          <w:bCs/>
          <w:sz w:val="20"/>
          <w:szCs w:val="20"/>
        </w:rPr>
        <w:t xml:space="preserve">Constants modified:</w:t>
      </w:r>
      <w:r>
        <w:rPr>
          <w:rFonts w:ascii="Arial" w:cs="Arial" w:eastAsia="Arial" w:hAnsi="Arial"/>
          <w:sz w:val="20"/>
          <w:szCs w:val="20"/>
        </w:rPr>
        <w:t xml:space="preserve"> proj_at_bats_per_game replaced with empirically derived slot-based estimates</w:t>
      </w:r>
    </w:p>
    <w:p>
      <w:r>
        <w:t xml:space="preserve"/>
      </w:r>
    </w:p>
    <w:p>
      <w:r>
        <w:rPr>
          <w:rFonts w:ascii="Arial" w:cs="Arial" w:eastAsia="Arial" w:hAnsi="Arial"/>
          <w:b/>
          <w:bCs/>
          <w:sz w:val="22"/>
          <w:szCs w:val="22"/>
        </w:rPr>
        <w:t xml:space="preserve">Key Findings</w:t>
      </w:r>
    </w:p>
    <w:p>
      <w:pPr>
        <w:pStyle w:val="ListParagraph"/>
        <w:numPr>
          <w:ilvl w:val="0"/>
          <w:numId w:val="2"/>
        </w:numPr>
      </w:pPr>
      <w:r>
        <w:rPr>
          <w:rFonts w:ascii="Arial" w:cs="Arial" w:eastAsia="Arial" w:hAnsi="Arial"/>
          <w:sz w:val="20"/>
          <w:szCs w:val="20"/>
        </w:rPr>
        <w:t xml:space="preserve">Theoretical slot estimates (3.9/3.8/3.6/3.3) overstated AB by 0.009–0.269 per slot introducing +0.1133 TB bias</w:t>
      </w:r>
    </w:p>
    <w:p>
      <w:pPr>
        <w:pStyle w:val="ListParagraph"/>
        <w:numPr>
          <w:ilvl w:val="0"/>
          <w:numId w:val="2"/>
        </w:numPr>
      </w:pPr>
      <w:r>
        <w:rPr>
          <w:rFonts w:ascii="Arial" w:cs="Arial" w:eastAsia="Arial" w:hAnsi="Arial"/>
          <w:sz w:val="20"/>
          <w:szCs w:val="20"/>
        </w:rPr>
        <w:t xml:space="preserve">Empirical values derived from fact_player_game_results (n=820–851 games per slot) reduced TB bias to +0.0468</w:t>
      </w:r>
    </w:p>
    <w:p>
      <w:pPr>
        <w:pStyle w:val="ListParagraph"/>
        <w:numPr>
          <w:ilvl w:val="0"/>
          <w:numId w:val="2"/>
        </w:numPr>
      </w:pPr>
      <w:r>
        <w:rPr>
          <w:rFonts w:ascii="Arial" w:cs="Arial" w:eastAsia="Arial" w:hAnsi="Arial"/>
          <w:sz w:val="20"/>
          <w:szCs w:val="20"/>
        </w:rPr>
        <w:t xml:space="preserve">Remaining bias reflects early-season sample variance — will self-correct as season data accumulates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700"/>
        <w:gridCol w:w="700"/>
        <w:gridCol w:w="700"/>
        <w:gridCol w:w="700"/>
        <w:gridCol w:w="700"/>
        <w:gridCol w:w="700"/>
        <w:gridCol w:w="700"/>
        <w:gridCol w:w="700"/>
      </w:tblGrid>
      <w:tr>
        <w:tc>
          <w:tcPr>
            <w:tcW w:type="dxa" w:w="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Slot</w:t>
            </w:r>
          </w:p>
        </w:tc>
        <w:tc>
          <w:tcPr>
            <w:tcW w:type="dxa" w:w="7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1</w:t>
            </w:r>
          </w:p>
        </w:tc>
        <w:tc>
          <w:tcPr>
            <w:tcW w:type="dxa" w:w="7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2</w:t>
            </w:r>
          </w:p>
        </w:tc>
        <w:tc>
          <w:tcPr>
            <w:tcW w:type="dxa" w:w="7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3</w:t>
            </w:r>
          </w:p>
        </w:tc>
        <w:tc>
          <w:tcPr>
            <w:tcW w:type="dxa" w:w="7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4</w:t>
            </w:r>
          </w:p>
        </w:tc>
        <w:tc>
          <w:tcPr>
            <w:tcW w:type="dxa" w:w="7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5</w:t>
            </w:r>
          </w:p>
        </w:tc>
        <w:tc>
          <w:tcPr>
            <w:tcW w:type="dxa" w:w="7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6</w:t>
            </w:r>
          </w:p>
        </w:tc>
        <w:tc>
          <w:tcPr>
            <w:tcW w:type="dxa" w:w="7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7</w:t>
            </w:r>
          </w:p>
        </w:tc>
        <w:tc>
          <w:tcPr>
            <w:tcW w:type="dxa" w:w="7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8</w:t>
            </w:r>
          </w:p>
        </w:tc>
        <w:tc>
          <w:tcPr>
            <w:tcW w:type="dxa" w:w="7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9</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Obs. Avg AB</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3.888</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3.781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3.708</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3.652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3.549</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3.456</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3.339</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3.113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3.031</w:t>
            </w:r>
          </w:p>
        </w:tc>
      </w:tr>
    </w:tbl>
    <w:p>
      <w:r>
        <w:t xml:space="preserve"/>
      </w:r>
    </w:p>
    <w:p>
      <w:r>
        <w:rPr>
          <w:rFonts w:ascii="Arial" w:cs="Arial" w:eastAsia="Arial" w:hAnsi="Arial"/>
          <w:b/>
          <w:bCs/>
          <w:sz w:val="22"/>
          <w:szCs w:val="22"/>
        </w:rPr>
        <w:t xml:space="preserve">Future Review Triggers</w:t>
      </w:r>
    </w:p>
    <w:p>
      <w:pPr>
        <w:pStyle w:val="ListParagraph"/>
        <w:numPr>
          <w:ilvl w:val="0"/>
          <w:numId w:val="2"/>
        </w:numPr>
      </w:pPr>
      <w:r>
        <w:rPr>
          <w:rFonts w:ascii="Arial" w:cs="Arial" w:eastAsia="Arial" w:hAnsi="Arial"/>
          <w:sz w:val="20"/>
          <w:szCs w:val="20"/>
        </w:rPr>
        <w:t xml:space="preserve">Re-derive at end of 2026 season: SELECT lineup_slot, AVG(at_bats) FROM fact_player_game_results JOIN fact_game_lineups WHERE at_bats &gt;= 1 GROUP BY lineup_slot</w:t>
      </w:r>
    </w:p>
    <w:p>
      <w:r>
        <w:t xml:space="preserve"/>
      </w:r>
    </w:p>
    <w:p>
      <w:pPr>
        <w:pBdr>
          <w:bottom w:val="single" w:color="1F4E79" w:sz="4" w:space="1"/>
        </w:pBdr>
      </w:pPr>
      <w:r>
        <w:t xml:space="preserve"/>
      </w:r>
    </w:p>
    <w:p>
      <w:r>
        <w:t xml:space="preserve"/>
      </w:r>
    </w:p>
    <w:p>
      <w:pPr>
        <w:pStyle w:val="Heading2"/>
      </w:pPr>
      <w:r>
        <w:rPr>
          <w:rFonts w:ascii="Arial" w:cs="Arial" w:eastAsia="Arial" w:hAnsi="Arial"/>
          <w:b/>
          <w:bCs/>
          <w:color w:val="1F4E79"/>
          <w:sz w:val="26"/>
          <w:szCs w:val="26"/>
        </w:rPr>
        <w:t xml:space="preserve">HR Probability — Empirical Constants &amp; Per-Game Conversion</w:t>
      </w:r>
    </w:p>
    <w:p>
      <w:r>
        <w:t xml:space="preserve"/>
      </w:r>
    </w:p>
    <w:p>
      <w:r>
        <w:rPr>
          <w:rFonts w:ascii="Arial" w:cs="Arial" w:eastAsia="Arial" w:hAnsi="Arial"/>
          <w:b/>
          <w:bCs/>
          <w:sz w:val="20"/>
          <w:szCs w:val="20"/>
        </w:rPr>
        <w:t xml:space="preserve">Date:</w:t>
      </w:r>
      <w:r>
        <w:rPr>
          <w:rFonts w:ascii="Arial" w:cs="Arial" w:eastAsia="Arial" w:hAnsi="Arial"/>
          <w:sz w:val="20"/>
          <w:szCs w:val="20"/>
        </w:rPr>
        <w:t xml:space="preserve"> June 8, 2026   </w:t>
      </w:r>
      <w:r>
        <w:rPr>
          <w:rFonts w:ascii="Arial" w:cs="Arial" w:eastAsia="Arial" w:hAnsi="Arial"/>
          <w:b/>
          <w:bCs/>
          <w:sz w:val="20"/>
          <w:szCs w:val="20"/>
        </w:rPr>
        <w:t xml:space="preserve">Affected script:</w:t>
      </w:r>
      <w:r>
        <w:rPr>
          <w:rFonts w:ascii="Arial" w:cs="Arial" w:eastAsia="Arial" w:hAnsi="Arial"/>
          <w:sz w:val="20"/>
          <w:szCs w:val="20"/>
        </w:rPr>
        <w:t xml:space="preserve"> ingest/compute_match_scores.py   </w:t>
      </w:r>
      <w:r>
        <w:rPr>
          <w:rFonts w:ascii="Arial" w:cs="Arial" w:eastAsia="Arial" w:hAnsi="Arial"/>
          <w:b/>
          <w:bCs/>
          <w:sz w:val="20"/>
          <w:szCs w:val="20"/>
        </w:rPr>
        <w:t xml:space="preserve">Constants modified:</w:t>
      </w:r>
      <w:r>
        <w:rPr>
          <w:rFonts w:ascii="Arial" w:cs="Arial" w:eastAsia="Arial" w:hAnsi="Arial"/>
          <w:sz w:val="20"/>
          <w:szCs w:val="20"/>
        </w:rPr>
        <w:t xml:space="preserve"> LEAGUE_AVG_HR_PER_PA (0.034→0.0293), LEAGUE_AVG_BARREL_RATE (0.076→0.0708), output scale (per-PA→0per-game)</w:t>
      </w:r>
    </w:p>
    <w:p>
      <w:r>
        <w:t xml:space="preserve"/>
      </w:r>
    </w:p>
    <w:p>
      <w:r>
        <w:rPr>
          <w:rFonts w:ascii="Arial" w:cs="Arial" w:eastAsia="Arial" w:hAnsi="Arial"/>
          <w:b/>
          <w:bCs/>
          <w:sz w:val="22"/>
          <w:szCs w:val="22"/>
        </w:rPr>
        <w:t xml:space="preserve">What This Controls</w:t>
      </w:r>
    </w:p>
    <w:p>
      <w:r>
        <w:rPr>
          <w:rFonts w:ascii="Arial" w:cs="Arial" w:eastAsia="Arial" w:hAnsi="Arial"/>
          <w:sz w:val="20"/>
          <w:szCs w:val="20"/>
        </w:rPr>
        <w:t xml:space="preserve">The HR probability model uses two league-average constants as regression fallbacks: LEAGUE_AVG_HR_PER_PA (the fallback when a batter has insufficient HR history) and LEAGUE_AVG_BARREL_RATE (the fallback for barrel rate context). Both were originally set from historical MLB averages rather than observed 2026 data. Additionally, the model was outputting per-PA probabilities (~0.02-0.08) rather than per-game probabilities, creating a structural mismatch with the intended use case of projecting the likelihood of a batter hitting a home run in tonight’s game.</w:t>
      </w:r>
    </w:p>
    <w:p>
      <w:r>
        <w:t xml:space="preserve"/>
      </w:r>
    </w:p>
    <w:p>
      <w:r>
        <w:rPr>
          <w:rFonts w:ascii="Arial" w:cs="Arial" w:eastAsia="Arial" w:hAnsi="Arial"/>
          <w:b/>
          <w:bCs/>
          <w:sz w:val="22"/>
          <w:szCs w:val="22"/>
        </w:rPr>
        <w:t xml:space="preserve">Empirical Constants Derived</w:t>
      </w:r>
    </w:p>
    <w:p>
      <w:r>
        <w:rPr>
          <w:rFonts w:ascii="Arial" w:cs="Arial" w:eastAsia="Arial" w:hAnsi="Arial"/>
          <w:sz w:val="20"/>
          <w:szCs w:val="20"/>
        </w:rPr>
        <w:t xml:space="preserve">Both constants were re-derived from 2026 season data prior to backtesting: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2200"/>
        <w:gridCol w:w="2960"/>
      </w:tblGrid>
      <w:tr>
        <w:tc>
          <w:tcPr>
            <w:tcW w:type="dxa" w:w="24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Constant</w:t>
            </w:r>
          </w:p>
        </w:tc>
        <w:tc>
          <w:tcPr>
            <w:tcW w:type="dxa" w:w="14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Original Value</w:t>
            </w:r>
          </w:p>
        </w:tc>
        <w:tc>
          <w:tcPr>
            <w:tcW w:type="dxa" w:w="14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2026 Observed</w:t>
            </w:r>
          </w:p>
        </w:tc>
        <w:tc>
          <w:tcPr>
            <w:tcW w:type="dxa" w:w="22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Source</w:t>
            </w:r>
          </w:p>
        </w:tc>
        <w:tc>
          <w:tcPr>
            <w:tcW w:type="dxa" w:w="29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Method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LEAGUE_AVG_HR_PER_PA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0.034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0.0293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fact_player_game_results (at_bats≥2)</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SUM(home_runs)/SUM(plate_appearances)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LEAGUE_AVG_BARREL_RATE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0.076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0.0708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fact_batter_power_profile (bbe≥20)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AVG(barrels_per_bbe) using corrected barrel definition</w:t>
            </w:r>
          </w:p>
        </w:tc>
      </w:tr>
    </w:tbl>
    <w:p>
      <w:r>
        <w:t xml:space="preserve"/>
      </w:r>
    </w:p>
    <w:p>
      <w:r>
        <w:rPr>
          <w:rFonts w:ascii="Arial" w:cs="Arial" w:eastAsia="Arial" w:hAnsi="Arial"/>
          <w:b/>
          <w:bCs/>
          <w:sz w:val="22"/>
          <w:szCs w:val="22"/>
        </w:rPr>
        <w:t xml:space="preserve">Per-Game Conversion</w:t>
      </w:r>
    </w:p>
    <w:p>
      <w:r>
        <w:rPr>
          <w:rFonts w:ascii="Arial" w:cs="Arial" w:eastAsia="Arial" w:hAnsi="Arial"/>
          <w:sz w:val="20"/>
          <w:szCs w:val="20"/>
        </w:rPr>
        <w:t xml:space="preserve">The model previously output per-PA HR probability (~0.02-0.08), which understates the actual per-game likelihood by a factor of approximately 3-4x (the number of plate appearances per game). The fix multiplies the blended per-PA rate by ab_per_game (the same slot-based estimate used for projected_total_bases), converting the output to a per-game probability with a typical range of 0.05-0.20. This is more intuitive for dashboard display and analytically correct for backtesting against hr_flag (binary per-game outcome).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Measure</w:t>
            </w:r>
          </w:p>
        </w:tc>
        <w:tc>
          <w:tcPr>
            <w:tcW w:type="dxa" w:w="24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Before Fix</w:t>
            </w:r>
          </w:p>
        </w:tc>
        <w:tc>
          <w:tcPr>
            <w:tcW w:type="dxa" w:w="37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After Fix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Output interpretation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HR probability per plate appearance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HR probability per game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Typical output range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0.02–0.08</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0.05–0.20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Backtest bias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–0.13225 (structural — denominator mismatch)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–0.05090 (residual model error)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Calibration gap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–0.09 to –0.32 across all buckets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–0.01 to –0.09 across most buckets</w:t>
            </w:r>
          </w:p>
        </w:tc>
      </w:tr>
    </w:tbl>
    <w:p>
      <w:r>
        <w:t xml:space="preserve"/>
      </w:r>
    </w:p>
    <w:p>
      <w:r>
        <w:rPr>
          <w:rFonts w:ascii="Arial" w:cs="Arial" w:eastAsia="Arial" w:hAnsi="Arial"/>
          <w:b/>
          <w:bCs/>
          <w:sz w:val="22"/>
          <w:szCs w:val="22"/>
        </w:rPr>
        <w:t xml:space="preserve">Decision Rationale</w:t>
      </w:r>
    </w:p>
    <w:p>
      <w:r>
        <w:rPr>
          <w:rFonts w:ascii="Arial" w:cs="Arial" w:eastAsia="Arial" w:hAnsi="Arial"/>
          <w:sz w:val="20"/>
          <w:szCs w:val="20"/>
        </w:rPr>
        <w:t xml:space="preserve">The per-game conversion resolves a fundamental structural error in the model output. The 61% reduction in bias (from -0.132 to -0.051) confirms that the denominator mismatch was the primary source of the previous systematic under-projection. The empirically derived constants ensure regression fallbacks reflect actual 2026 performance rather than historical assumptions.</w:t>
      </w:r>
    </w:p>
    <w:p>
      <w:r>
        <w:t xml:space="preserve"/>
      </w:r>
    </w:p>
    <w:p>
      <w:r>
        <w:rPr>
          <w:rFonts w:ascii="Arial" w:cs="Arial" w:eastAsia="Arial" w:hAnsi="Arial"/>
          <w:b/>
          <w:bCs/>
          <w:sz w:val="22"/>
          <w:szCs w:val="22"/>
        </w:rPr>
        <w:t xml:space="preserve">Future Review Triggers</w:t>
      </w:r>
    </w:p>
    <w:p>
      <w:pPr>
        <w:pStyle w:val="ListParagraph"/>
        <w:numPr>
          <w:ilvl w:val="0"/>
          <w:numId w:val="2"/>
        </w:numPr>
      </w:pPr>
      <w:r>
        <w:rPr>
          <w:rFonts w:ascii="Arial" w:cs="Arial" w:eastAsia="Arial" w:hAnsi="Arial"/>
          <w:sz w:val="20"/>
          <w:szCs w:val="20"/>
        </w:rPr>
        <w:t xml:space="preserve">Re-derive LEAGUE_AVG_HR_PER_PA and LEAGUE_AVG_BARREL_RATE at end of 2026 season</w:t>
      </w:r>
    </w:p>
    <w:p>
      <w:pPr>
        <w:pStyle w:val="ListParagraph"/>
        <w:numPr>
          <w:ilvl w:val="0"/>
          <w:numId w:val="2"/>
        </w:numPr>
      </w:pPr>
      <w:r>
        <w:rPr>
          <w:rFonts w:ascii="Arial" w:cs="Arial" w:eastAsia="Arial" w:hAnsi="Arial"/>
          <w:sz w:val="20"/>
          <w:szCs w:val="20"/>
        </w:rPr>
        <w:t xml:space="preserve">Validate per-game conversion accuracy as full-season slot-based AB estimates stabilise</w:t>
      </w:r>
    </w:p>
    <w:p>
      <w:r>
        <w:t xml:space="preserve"/>
      </w:r>
    </w:p>
    <w:p>
      <w:pPr>
        <w:pBdr>
          <w:bottom w:val="single" w:color="1F4E79" w:sz="4" w:space="1"/>
        </w:pBdr>
      </w:pPr>
      <w:r>
        <w:t xml:space="preserve"/>
      </w:r>
    </w:p>
    <w:p>
      <w:r>
        <w:t xml:space="preserve"/>
      </w:r>
    </w:p>
    <w:p>
      <w:pPr>
        <w:pStyle w:val="Heading2"/>
      </w:pPr>
      <w:r>
        <w:rPr>
          <w:rFonts w:ascii="Arial" w:cs="Arial" w:eastAsia="Arial" w:hAnsi="Arial"/>
          <w:b/>
          <w:bCs/>
          <w:color w:val="1F4E79"/>
          <w:sz w:val="26"/>
          <w:szCs w:val="26"/>
        </w:rPr>
        <w:t xml:space="preserve">HR Probability — BBE Threshold &amp; Blend Weight Backtesting</w:t>
      </w:r>
    </w:p>
    <w:p>
      <w:r>
        <w:t xml:space="preserve"/>
      </w:r>
    </w:p>
    <w:p>
      <w:r>
        <w:rPr>
          <w:rFonts w:ascii="Arial" w:cs="Arial" w:eastAsia="Arial" w:hAnsi="Arial"/>
          <w:b/>
          <w:bCs/>
          <w:sz w:val="20"/>
          <w:szCs w:val="20"/>
        </w:rPr>
        <w:t xml:space="preserve">Date:</w:t>
      </w:r>
      <w:r>
        <w:rPr>
          <w:rFonts w:ascii="Arial" w:cs="Arial" w:eastAsia="Arial" w:hAnsi="Arial"/>
          <w:sz w:val="20"/>
          <w:szCs w:val="20"/>
        </w:rPr>
        <w:t xml:space="preserve"> June 8, 2026   </w:t>
      </w:r>
      <w:r>
        <w:rPr>
          <w:rFonts w:ascii="Arial" w:cs="Arial" w:eastAsia="Arial" w:hAnsi="Arial"/>
          <w:b/>
          <w:bCs/>
          <w:sz w:val="20"/>
          <w:szCs w:val="20"/>
        </w:rPr>
        <w:t xml:space="preserve">Affected script:</w:t>
      </w:r>
      <w:r>
        <w:rPr>
          <w:rFonts w:ascii="Arial" w:cs="Arial" w:eastAsia="Arial" w:hAnsi="Arial"/>
          <w:sz w:val="20"/>
          <w:szCs w:val="20"/>
        </w:rPr>
        <w:t xml:space="preserve"> ingest/compute_match_scores.py   </w:t>
      </w:r>
      <w:r>
        <w:rPr>
          <w:rFonts w:ascii="Arial" w:cs="Arial" w:eastAsia="Arial" w:hAnsi="Arial"/>
          <w:b/>
          <w:bCs/>
          <w:sz w:val="20"/>
          <w:szCs w:val="20"/>
        </w:rPr>
        <w:t xml:space="preserve">Constants modified:</w:t>
      </w:r>
      <w:r>
        <w:rPr>
          <w:rFonts w:ascii="Arial" w:cs="Arial" w:eastAsia="Arial" w:hAnsi="Arial"/>
          <w:sz w:val="20"/>
          <w:szCs w:val="20"/>
        </w:rPr>
        <w:t xml:space="preserve"> MIN_BBE_THRESHOLD (20→100), blend weights (0.45/0.35/0.20→0.70/0.20/0.10)</w:t>
      </w:r>
    </w:p>
    <w:p>
      <w:r>
        <w:t xml:space="preserve"/>
      </w:r>
    </w:p>
    <w:p>
      <w:r>
        <w:rPr>
          <w:rFonts w:ascii="Arial" w:cs="Arial" w:eastAsia="Arial" w:hAnsi="Arial"/>
          <w:b/>
          <w:bCs/>
          <w:sz w:val="22"/>
          <w:szCs w:val="22"/>
        </w:rPr>
        <w:t xml:space="preserve">What These Control</w:t>
      </w:r>
    </w:p>
    <w:p>
      <w:r>
        <w:rPr>
          <w:rFonts w:ascii="Arial" w:cs="Arial" w:eastAsia="Arial" w:hAnsi="Arial"/>
          <w:sz w:val="20"/>
          <w:szCs w:val="20"/>
        </w:rPr>
        <w:t xml:space="preserve">MIN_BBE_THRESHOLD is the HR-probability equivalent of τ — the minimum batted ball events before a batter’s observed barrel rate is fully trusted. Below this threshold the observed rate is regressed toward LEAGUE_AVG_BARREL_RATE. The blend weights determine how much batter HR rate, pitcher HR rate, and barrel context each contribute to the final blended HR probability.</w:t>
      </w:r>
    </w:p>
    <w:p>
      <w:r>
        <w:t xml:space="preserve"/>
      </w:r>
    </w:p>
    <w:p>
      <w:r>
        <w:rPr>
          <w:rFonts w:ascii="Arial" w:cs="Arial" w:eastAsia="Arial" w:hAnsi="Arial"/>
          <w:b/>
          <w:bCs/>
          <w:sz w:val="22"/>
          <w:szCs w:val="22"/>
        </w:rPr>
        <w:t xml:space="preserve">What We Tested</w:t>
      </w:r>
    </w:p>
    <w:p>
      <w:r>
        <w:rPr>
          <w:rFonts w:ascii="Arial" w:cs="Arial" w:eastAsia="Arial" w:hAnsi="Arial"/>
          <w:sz w:val="20"/>
          <w:szCs w:val="20"/>
        </w:rPr>
        <w:t xml:space="preserve">A grid search across 45 configurations: MIN_BBE_THRESHOLD ∈ {20, 50, 100, 150, 200} × 9 blend weight combinations. Evaluated against 472 matchup rows with actual HR outcomes from fact_player_game_results (minimum 2 AB filter). Primary metric: Brier score (mean squared error on binary HR outcome), which is the correct scoring rule for probability forecasts. Fixed: LEAGUE_AVG_HR_PER_PA=0.0293, LEAGUE_AVG_BARREL_RATE=0.0708.</w:t>
      </w:r>
    </w:p>
    <w:p>
      <w:r>
        <w:t xml:space="preserve"/>
      </w:r>
    </w:p>
    <w:p>
      <w:r>
        <w:rPr>
          <w:rFonts w:ascii="Arial" w:cs="Arial" w:eastAsia="Arial" w:hAnsi="Arial"/>
          <w:b/>
          <w:bCs/>
          <w:sz w:val="22"/>
          <w:szCs w:val="22"/>
        </w:rPr>
        <w:t xml:space="preserve">Key Findings</w:t>
      </w:r>
    </w:p>
    <w:p>
      <w:pPr>
        <w:pStyle w:val="ListParagraph"/>
        <w:numPr>
          <w:ilvl w:val="0"/>
          <w:numId w:val="2"/>
        </w:numPr>
      </w:pPr>
      <w:r>
        <w:rPr>
          <w:rFonts w:ascii="Arial" w:cs="Arial" w:eastAsia="Arial" w:hAnsi="Arial"/>
          <w:sz w:val="20"/>
          <w:szCs w:val="20"/>
        </w:rPr>
        <w:t xml:space="preserve">Brier score sensitivity across all 45 configurations was minimal — total range of 0.00229 (0.13511 to 0.13740), far smaller than the BA and TB improvements</w:t>
      </w:r>
    </w:p>
    <w:p>
      <w:pPr>
        <w:pStyle w:val="ListParagraph"/>
        <w:numPr>
          <w:ilvl w:val="0"/>
          <w:numId w:val="2"/>
        </w:numPr>
      </w:pPr>
      <w:r>
        <w:rPr>
          <w:rFonts w:ascii="Arial" w:cs="Arial" w:eastAsia="Arial" w:hAnsi="Arial"/>
          <w:sz w:val="20"/>
          <w:szCs w:val="20"/>
        </w:rPr>
        <w:t xml:space="preserve">BBE=100 produced the best average Brier score; bbe=50 was marginally behind — neither dominates conclusively given the thin 472-row sample</w:t>
      </w:r>
    </w:p>
    <w:p>
      <w:pPr>
        <w:pStyle w:val="ListParagraph"/>
        <w:numPr>
          <w:ilvl w:val="0"/>
          <w:numId w:val="2"/>
        </w:numPr>
      </w:pPr>
      <w:r>
        <w:rPr>
          <w:rFonts w:ascii="Arial" w:cs="Arial" w:eastAsia="Arial" w:hAnsi="Arial"/>
          <w:sz w:val="20"/>
          <w:szCs w:val="20"/>
        </w:rPr>
        <w:t xml:space="preserve">Blend weight pattern mirrors BA and TB findings: higher batter weight with lower pitcher and barrel weights performs marginally better, with 0.70/0.20/0.10 optimal by Brier score</w:t>
      </w:r>
    </w:p>
    <w:p>
      <w:pPr>
        <w:pStyle w:val="ListParagraph"/>
        <w:numPr>
          <w:ilvl w:val="0"/>
          <w:numId w:val="2"/>
        </w:numPr>
      </w:pPr>
      <w:r>
        <w:rPr>
          <w:rFonts w:ascii="Arial" w:cs="Arial" w:eastAsia="Arial" w:hAnsi="Arial"/>
          <w:sz w:val="20"/>
          <w:szCs w:val="20"/>
        </w:rPr>
        <w:t xml:space="preserve">HR probability is inherently harder to tune than BA or TB — home runs are rare binary events (~11% per-game rate) and 472 matchup rows provides limited statistical power for parameter discrimination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900"/>
        <w:gridCol w:w="1300"/>
        <w:gridCol w:w="1300"/>
        <w:gridCol w:w="1300"/>
        <w:gridCol w:w="860"/>
      </w:tblGrid>
      <w:tr>
        <w:tc>
          <w:tcPr>
            <w:tcW w:type="dxa" w:w="9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BBE</w:t>
            </w:r>
          </w:p>
        </w:tc>
        <w:tc>
          <w:tcPr>
            <w:tcW w:type="dxa" w:w="9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Batter</w:t>
            </w:r>
          </w:p>
        </w:tc>
        <w:tc>
          <w:tcPr>
            <w:tcW w:type="dxa" w:w="9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Pitcher</w:t>
            </w:r>
          </w:p>
        </w:tc>
        <w:tc>
          <w:tcPr>
            <w:tcW w:type="dxa" w:w="9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Barrel</w:t>
            </w:r>
          </w:p>
        </w:tc>
        <w:tc>
          <w:tcPr>
            <w:tcW w:type="dxa" w:w="13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MAE</w:t>
            </w:r>
          </w:p>
        </w:tc>
        <w:tc>
          <w:tcPr>
            <w:tcW w:type="dxa" w:w="13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Bias</w:t>
            </w:r>
          </w:p>
        </w:tc>
        <w:tc>
          <w:tcPr>
            <w:tcW w:type="dxa" w:w="13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Brier</w:t>
            </w:r>
          </w:p>
        </w:tc>
        <w:tc>
          <w:tcPr>
            <w:tcW w:type="dxa" w:w="8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20 (original live)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0.45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0.35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0.20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0.23111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-0.05409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0.13740</w:t>
            </w:r>
          </w:p>
        </w:tc>
        <w:tc>
          <w:tcPr>
            <w:tcW w:type="dxa" w:w="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472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100 (implemented)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0.70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0.20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0.23166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-0.05090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0.13511</w:t>
            </w:r>
          </w:p>
        </w:tc>
        <w:tc>
          <w:tcPr>
            <w:tcW w:type="dxa" w:w="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472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50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0.70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0.20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0.23114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-0.05141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0.13526</w:t>
            </w:r>
          </w:p>
        </w:tc>
        <w:tc>
          <w:tcPr>
            <w:tcW w:type="dxa" w:w="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472</w:t>
            </w:r>
          </w:p>
        </w:tc>
      </w:tr>
    </w:tbl>
    <w:p>
      <w:r>
        <w:t xml:space="preserve"/>
      </w:r>
    </w:p>
    <w:p>
      <w:r>
        <w:rPr>
          <w:rFonts w:ascii="Arial" w:cs="Arial" w:eastAsia="Arial" w:hAnsi="Arial"/>
          <w:b/>
          <w:bCs/>
          <w:sz w:val="22"/>
          <w:szCs w:val="22"/>
        </w:rPr>
        <w:t xml:space="preserve">Calibration — Implemented Configuration (BBE=100, 0.70/0.20/0.10)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00"/>
        <w:gridCol w:w="1200"/>
        <w:gridCol w:w="1200"/>
        <w:gridCol w:w="1860"/>
      </w:tblGrid>
      <w:tr>
        <w:tc>
          <w:tcPr>
            <w:tcW w:type="dxa" w:w="15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Bucket</w:t>
            </w:r>
          </w:p>
        </w:tc>
        <w:tc>
          <w:tcPr>
            <w:tcW w:type="dxa" w:w="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N</w:t>
            </w:r>
          </w:p>
        </w:tc>
        <w:tc>
          <w:tcPr>
            <w:tcW w:type="dxa" w:w="12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Avg Pred</w:t>
            </w:r>
          </w:p>
        </w:tc>
        <w:tc>
          <w:tcPr>
            <w:tcW w:type="dxa" w:w="12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Actual Rate</w:t>
            </w:r>
          </w:p>
        </w:tc>
        <w:tc>
          <w:tcPr>
            <w:tcW w:type="dxa" w:w="18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Arial" w:cs="Arial" w:eastAsia="Arial" w:hAnsi="Arial"/>
                <w:b/>
                <w:bCs/>
                <w:sz w:val="18"/>
                <w:szCs w:val="18"/>
              </w:rPr>
              <w:t xml:space="preserve">Gap</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0.00–0.05</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43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0.0346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0.0465</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-0.0119</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0.05–0.08</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97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0.0672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0.1134</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-0.0462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0.08–0.11</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139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0.0947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0.1871</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-0.0924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0.11–0.14</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70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0.1230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0.1571</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-0.0341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0.14–0.18</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70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0.1602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0.1429</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+0.0173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0.18+</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53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0.2261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0.3208</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-0.0947</w:t>
            </w:r>
          </w:p>
        </w:tc>
      </w:tr>
    </w:tbl>
    <w:p>
      <w:r>
        <w:t xml:space="preserve"/>
      </w:r>
    </w:p>
    <w:p>
      <w:r>
        <w:rPr>
          <w:rFonts w:ascii="Arial" w:cs="Arial" w:eastAsia="Arial" w:hAnsi="Arial"/>
          <w:b/>
          <w:bCs/>
          <w:sz w:val="22"/>
          <w:szCs w:val="22"/>
        </w:rPr>
        <w:t xml:space="preserve">Decision Rationale</w:t>
      </w:r>
    </w:p>
    <w:p>
      <w:r>
        <w:rPr>
          <w:rFonts w:ascii="Arial" w:cs="Arial" w:eastAsia="Arial" w:hAnsi="Arial"/>
          <w:sz w:val="20"/>
          <w:szCs w:val="20"/>
        </w:rPr>
        <w:t xml:space="preserve">BBE=100 and blend 0.70/0.20/0.10 selected as the best configuration by Brier score, consistent with BA and TB findings. The remaining calibration gaps are real but not tunable at this sample size without risking overfitting. The model’s primary value is relative rank-ordering of batters by HR upside — a batter projecting at 18% HR probability is meaningfully more likely to homer than one projecting at 7%, even if the absolute calibration is imperfect. The 0.11-0.14 bucket shows the best calibration (-0.034 gap), covering the modal range of projections.</w:t>
      </w:r>
    </w:p>
    <w:p>
      <w:r>
        <w:t xml:space="preserve"/>
      </w:r>
    </w:p>
    <w:p>
      <w:r>
        <w:rPr>
          <w:rFonts w:ascii="Arial" w:cs="Arial" w:eastAsia="Arial" w:hAnsi="Arial"/>
          <w:b/>
          <w:bCs/>
          <w:sz w:val="22"/>
          <w:szCs w:val="22"/>
        </w:rPr>
        <w:t xml:space="preserve">Future Review Triggers</w:t>
      </w:r>
    </w:p>
    <w:p>
      <w:pPr>
        <w:pStyle w:val="ListParagraph"/>
        <w:numPr>
          <w:ilvl w:val="0"/>
          <w:numId w:val="2"/>
        </w:numPr>
      </w:pPr>
      <w:r>
        <w:rPr>
          <w:rFonts w:ascii="Arial" w:cs="Arial" w:eastAsia="Arial" w:hAnsi="Arial"/>
          <w:sz w:val="20"/>
          <w:szCs w:val="20"/>
        </w:rPr>
        <w:t xml:space="preserve">Re-run full grid search at end of 2026 season with larger sample — HR prediction requires more data to stabilise than BA or TB</w:t>
      </w:r>
    </w:p>
    <w:p>
      <w:pPr>
        <w:pStyle w:val="ListParagraph"/>
        <w:numPr>
          <w:ilvl w:val="0"/>
          <w:numId w:val="2"/>
        </w:numPr>
      </w:pPr>
      <w:r>
        <w:rPr>
          <w:rFonts w:ascii="Arial" w:cs="Arial" w:eastAsia="Arial" w:hAnsi="Arial"/>
          <w:sz w:val="20"/>
          <w:szCs w:val="20"/>
        </w:rPr>
        <w:t xml:space="preserve">Consider extending BBE threshold range to 250-300 in mid-season re-evaluation, as HR rate is known to require 150-200 BBE to stabilise per industry research</w:t>
      </w:r>
    </w:p>
    <w:p>
      <w:pPr>
        <w:pStyle w:val="ListParagraph"/>
        <w:numPr>
          <w:ilvl w:val="0"/>
          <w:numId w:val="2"/>
        </w:numPr>
      </w:pPr>
      <w:r>
        <w:rPr>
          <w:rFonts w:ascii="Arial" w:cs="Arial" w:eastAsia="Arial" w:hAnsi="Arial"/>
          <w:sz w:val="20"/>
          <w:szCs w:val="20"/>
        </w:rPr>
        <w:t xml:space="preserve">Monitor calibration in the 0.08-0.11 and 0.18+ buckets as season progresses — these show the largest gaps and may warrant a structural review if they persist</w:t>
      </w:r>
    </w:p>
    <w:p>
      <w:pPr>
        <w:pStyle w:val="ListParagraph"/>
        <w:numPr>
          <w:ilvl w:val="0"/>
          <w:numId w:val="2"/>
        </w:numPr>
      </w:pPr>
      <w:r>
        <w:rPr>
          <w:rFonts w:ascii="Arial" w:cs="Arial" w:eastAsia="Arial" w:hAnsi="Arial"/>
          <w:sz w:val="20"/>
          <w:szCs w:val="20"/>
        </w:rPr>
        <w:t xml:space="preserve">Re-derive LEAGUE_AVG_HR_PER_PA and LEAGUE_AVG_BARREL_RATE at season end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outlineLvl w:val="0"/>
    </w:pPr>
    <w:rPr>
      <w:rFonts w:ascii="Arial" w:cs="Arial" w:eastAsia="Arial" w:hAnsi="Arial"/>
      <w:b/>
      <w:bCs/>
      <w:color w:val="1F4E79"/>
      <w:sz w:val="36"/>
      <w:szCs w:val="36"/>
    </w:rPr>
  </w:style>
  <w:style w:type="paragraph" w:styleId="Heading2">
    <w:name w:val="Heading 2"/>
    <w:basedOn w:val="Normal"/>
    <w:next w:val="Normal"/>
    <w:pPr>
      <w:spacing w:after="100" w:before="20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2026-06-08T15:22:47.098Z</dcterms:created>
  <dcterms:modified xsi:type="dcterms:W3CDTF">2026-06-08T15:22:47.112Z</dcterms:modified>
</cp:coreProperties>
</file>

<file path=docProps/custom.xml><?xml version="1.0" encoding="utf-8"?>
<Properties xmlns="http://schemas.openxmlformats.org/officeDocument/2006/custom-properties" xmlns:vt="http://schemas.openxmlformats.org/officeDocument/2006/docPropsVTypes"/>
</file>