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8C13" w14:textId="45BDC6D5" w:rsidR="00515B34" w:rsidRPr="00045FB0" w:rsidRDefault="00515B34" w:rsidP="00515B34">
      <w:pPr>
        <w:pStyle w:val="Title"/>
        <w:rPr>
          <w:rFonts w:ascii="Arial" w:hAnsi="Arial" w:cs="Arial"/>
        </w:rPr>
      </w:pPr>
      <w:r w:rsidRPr="00045FB0">
        <w:rPr>
          <w:rFonts w:ascii="Arial" w:hAnsi="Arial" w:cs="Arial"/>
        </w:rPr>
        <w:t>Current Commercial Data Processing Workflow</w:t>
      </w:r>
    </w:p>
    <w:p w14:paraId="53078BB1" w14:textId="6C205116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1. Data receipt</w:t>
      </w:r>
    </w:p>
    <w:p w14:paraId="4B7293F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Receives an email from the field via PMI secure file transfer.</w:t>
      </w:r>
    </w:p>
    <w:p w14:paraId="03DB328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Uses the link in the email to download all files.</w:t>
      </w:r>
    </w:p>
    <w:p w14:paraId="70334A03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Processing is performed on a dedicated, high-resource machine via remote desktop, not on a personal computer.</w:t>
      </w:r>
    </w:p>
    <w:p w14:paraId="16483C7E" w14:textId="0A5DB189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2. Initial download and folder setup</w:t>
      </w:r>
    </w:p>
    <w:p w14:paraId="3DAABAAC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Downloads all attachments to the local _Downloads_ folder.</w:t>
      </w:r>
    </w:p>
    <w:p w14:paraId="66090EF0" w14:textId="0A019C23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Runs a script that:</w:t>
      </w:r>
    </w:p>
    <w:p w14:paraId="048F0A66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Prompts for site ID and treatment number.</w:t>
      </w:r>
    </w:p>
    <w:p w14:paraId="3DA458C3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Creates the required folder structure.</w:t>
      </w:r>
    </w:p>
    <w:p w14:paraId="1CE2B27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Copies the downloaded ZIP files into those folders.</w:t>
      </w:r>
    </w:p>
    <w:p w14:paraId="45AEE109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Unzips the contents into the newly created directories.</w:t>
      </w:r>
    </w:p>
    <w:p w14:paraId="3CF4EB4F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Deletes the original ZIP files after extraction.</w:t>
      </w:r>
    </w:p>
    <w:p w14:paraId="2169C52D" w14:textId="739C617B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3. Manual data organization</w:t>
      </w:r>
    </w:p>
    <w:p w14:paraId="24C3A4B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Moves unzipped data into the appropriate folders:</w:t>
      </w:r>
    </w:p>
    <w:p w14:paraId="78C32C98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MRI</w:t>
      </w:r>
    </w:p>
    <w:p w14:paraId="024BEFF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TDC</w:t>
      </w:r>
    </w:p>
    <w:p w14:paraId="65C2562B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Treatment report</w:t>
      </w:r>
    </w:p>
    <w:p w14:paraId="59EE47A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Opens the treatment report PDF to confirm no patient-identifiable information is present, then closes it.</w:t>
      </w:r>
    </w:p>
    <w:p w14:paraId="22288FD2" w14:textId="351FBA25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4. MRI handling</w:t>
      </w:r>
    </w:p>
    <w:p w14:paraId="022D5B6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Unzips the MRI DICOM archive.</w:t>
      </w:r>
    </w:p>
    <w:p w14:paraId="248D12B5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>- Deletes the ZIP after extraction.</w:t>
      </w:r>
    </w:p>
    <w:p w14:paraId="28F511B8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Does not rename or modify MRI files unless necessary.</w:t>
      </w:r>
    </w:p>
    <w:p w14:paraId="3BEA165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Relies on the site having selected de-identification during export.</w:t>
      </w:r>
    </w:p>
    <w:p w14:paraId="310D6159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Performs spot checks if concerned about identifiers.</w:t>
      </w:r>
    </w:p>
    <w:p w14:paraId="145E9673" w14:textId="21D919B6" w:rsidR="00C44E72" w:rsidRPr="00045FB0" w:rsidRDefault="00C44E72" w:rsidP="00515B34">
      <w:pPr>
        <w:rPr>
          <w:rFonts w:ascii="Arial" w:hAnsi="Arial" w:cs="Arial"/>
        </w:rPr>
      </w:pPr>
      <w:r w:rsidRPr="00045FB0">
        <w:rPr>
          <w:rFonts w:ascii="Arial" w:hAnsi="Arial" w:cs="Arial"/>
          <w:noProof/>
        </w:rPr>
        <w:drawing>
          <wp:inline distT="0" distB="0" distL="0" distR="0" wp14:anchorId="20BC31F6" wp14:editId="1F68B8AB">
            <wp:extent cx="3352800" cy="2552928"/>
            <wp:effectExtent l="0" t="0" r="0" b="0"/>
            <wp:docPr id="2473916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2E97D33-9067-4DEE-8434-D692D67682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91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8194" cy="25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5DE1" w14:textId="461FB8B4" w:rsidR="003D7122" w:rsidRPr="00045FB0" w:rsidRDefault="003D7122" w:rsidP="00515B34">
      <w:pPr>
        <w:rPr>
          <w:rFonts w:ascii="Arial" w:hAnsi="Arial" w:cs="Arial"/>
        </w:rPr>
      </w:pPr>
      <w:r w:rsidRPr="00045FB0">
        <w:rPr>
          <w:rFonts w:ascii="Arial" w:hAnsi="Arial" w:cs="Arial"/>
          <w:noProof/>
        </w:rPr>
        <w:drawing>
          <wp:inline distT="0" distB="0" distL="0" distR="0" wp14:anchorId="49FDBEA3" wp14:editId="3B2D499F">
            <wp:extent cx="3251232" cy="2733675"/>
            <wp:effectExtent l="0" t="0" r="6350" b="0"/>
            <wp:docPr id="18973413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B90BED8-ACAC-4D02-9E50-703178B268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1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5652" cy="273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86C4" w14:textId="6B125D34" w:rsidR="003D7122" w:rsidRPr="00045FB0" w:rsidRDefault="0057187B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(19:28)</w:t>
      </w:r>
    </w:p>
    <w:p w14:paraId="4EB5940E" w14:textId="13CE7908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5. TDC handling</w:t>
      </w:r>
    </w:p>
    <w:p w14:paraId="6D9BFC90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Unzips the TDC archive.</w:t>
      </w:r>
    </w:p>
    <w:p w14:paraId="511CA88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Deletes the ZIP after extraction.</w:t>
      </w:r>
    </w:p>
    <w:p w14:paraId="7DC6FEA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>- Renames or reorganizes folders as needed for consistency.</w:t>
      </w:r>
    </w:p>
    <w:p w14:paraId="5A2A3A98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Moves log folders (e.g., `Logs`) to the expected location (historically `applog`) for consistency with prior uploads.</w:t>
      </w:r>
    </w:p>
    <w:p w14:paraId="00CBA203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Re-zips TDC session folders and deletes the raw folders after compression.</w:t>
      </w:r>
    </w:p>
    <w:p w14:paraId="29668D57" w14:textId="41ACFC8F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6. Treatment tracking</w:t>
      </w:r>
    </w:p>
    <w:p w14:paraId="621B7801" w14:textId="719833D4" w:rsidR="00F1522D" w:rsidRPr="00045FB0" w:rsidRDefault="00F1522D" w:rsidP="00F1522D">
      <w:pPr>
        <w:rPr>
          <w:rFonts w:ascii="Arial" w:hAnsi="Arial" w:cs="Arial"/>
        </w:rPr>
      </w:pPr>
      <w:r w:rsidRPr="00045FB0">
        <w:rPr>
          <w:rFonts w:ascii="Arial" w:hAnsi="Arial" w:cs="Arial"/>
          <w:noProof/>
        </w:rPr>
        <w:drawing>
          <wp:inline distT="0" distB="0" distL="0" distR="0" wp14:anchorId="77094998" wp14:editId="484E9D0E">
            <wp:extent cx="4486275" cy="2617473"/>
            <wp:effectExtent l="0" t="0" r="0" b="0"/>
            <wp:docPr id="5220370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D060286-5168-49BF-A0CB-3071CD955A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37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0378" cy="26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F29C" w14:textId="7DA3FD89" w:rsidR="00F1522D" w:rsidRPr="00045FB0" w:rsidRDefault="00F1522D" w:rsidP="00F1522D">
      <w:pPr>
        <w:rPr>
          <w:rFonts w:ascii="Arial" w:hAnsi="Arial" w:cs="Arial"/>
        </w:rPr>
      </w:pPr>
      <w:r w:rsidRPr="00045FB0">
        <w:rPr>
          <w:rFonts w:ascii="Arial" w:hAnsi="Arial" w:cs="Arial"/>
          <w:b/>
          <w:bCs/>
        </w:rPr>
        <w:t xml:space="preserve">STAUS: </w:t>
      </w:r>
      <w:r w:rsidRPr="00045FB0">
        <w:rPr>
          <w:rFonts w:ascii="Arial" w:hAnsi="Arial" w:cs="Arial"/>
        </w:rPr>
        <w:t>currently do not have access to this (</w:t>
      </w:r>
      <w:r w:rsidR="005148F1" w:rsidRPr="00045FB0">
        <w:rPr>
          <w:rFonts w:ascii="Arial" w:hAnsi="Arial" w:cs="Arial"/>
        </w:rPr>
        <w:t>13:54)</w:t>
      </w:r>
    </w:p>
    <w:p w14:paraId="351BAB6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Updates the commercial treatment tracker manually:</w:t>
      </w:r>
    </w:p>
    <w:p w14:paraId="010E34D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Site ID</w:t>
      </w:r>
    </w:p>
    <w:p w14:paraId="20010A7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Treatment number</w:t>
      </w:r>
    </w:p>
    <w:p w14:paraId="6ED683A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Upload date (from the TDC session folder timestamp)</w:t>
      </w:r>
    </w:p>
    <w:p w14:paraId="679D925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Study designation (e.g., Commercial-01)</w:t>
      </w:r>
    </w:p>
    <w:p w14:paraId="4C19E9B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Notes limited to non-PHI information</w:t>
      </w:r>
    </w:p>
    <w:p w14:paraId="4CDD59F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Marks the treatment as “in processing.”</w:t>
      </w:r>
    </w:p>
    <w:p w14:paraId="09812E88" w14:textId="5926311F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7. Local.db review</w:t>
      </w:r>
    </w:p>
    <w:p w14:paraId="095411D5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Opens `local.db` manually using a SQLite browser.</w:t>
      </w:r>
    </w:p>
    <w:p w14:paraId="2F032419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Checks patient-related columns (e.g., first name, last name, patient ID).</w:t>
      </w:r>
    </w:p>
    <w:p w14:paraId="7D992DF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If patient information is present:</w:t>
      </w:r>
    </w:p>
    <w:p w14:paraId="5292B83A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 xml:space="preserve">    - Deletes values from those fields.</w:t>
      </w:r>
    </w:p>
    <w:p w14:paraId="17496B20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Preserves the remainder of the record.</w:t>
      </w:r>
    </w:p>
    <w:p w14:paraId="5B8AD5E0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Closes the database after verification.</w:t>
      </w:r>
    </w:p>
    <w:p w14:paraId="2FB2E3F4" w14:textId="4AD982D2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8. Running PEDA</w:t>
      </w:r>
    </w:p>
    <w:p w14:paraId="34725681" w14:textId="77777777" w:rsidR="00515B34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Right-clicks the treatment folder and selects “Run PEDA.”</w:t>
      </w:r>
    </w:p>
    <w:p w14:paraId="10CC5EEC" w14:textId="77777777" w:rsidR="00417573" w:rsidRPr="00045FB0" w:rsidRDefault="00417573" w:rsidP="00417573">
      <w:pPr>
        <w:rPr>
          <w:rFonts w:ascii="Arial" w:hAnsi="Arial" w:cs="Arial"/>
        </w:rPr>
      </w:pPr>
      <w:r w:rsidRPr="00045FB0">
        <w:rPr>
          <w:rFonts w:ascii="Arial" w:hAnsi="Arial" w:cs="Arial"/>
        </w:rPr>
        <w:t>(22:41)</w:t>
      </w:r>
    </w:p>
    <w:p w14:paraId="4D4B11F4" w14:textId="327C78C2" w:rsidR="00417573" w:rsidRPr="00045FB0" w:rsidRDefault="00417573" w:rsidP="00515B34">
      <w:pPr>
        <w:rPr>
          <w:rFonts w:ascii="Arial" w:hAnsi="Arial" w:cs="Arial"/>
        </w:rPr>
      </w:pPr>
      <w:r w:rsidRPr="00045FB0">
        <w:rPr>
          <w:rFonts w:ascii="Arial" w:hAnsi="Arial" w:cs="Arial"/>
          <w:noProof/>
        </w:rPr>
        <w:drawing>
          <wp:inline distT="0" distB="0" distL="0" distR="0" wp14:anchorId="6C3173AE" wp14:editId="402FC5CF">
            <wp:extent cx="4257675" cy="2870746"/>
            <wp:effectExtent l="0" t="0" r="0" b="6350"/>
            <wp:docPr id="9783524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A86FD11-390E-4A20-B58D-0E99407C3E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5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2745" cy="28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59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PEDA executes via a batch file linked to the installed PEDA version.</w:t>
      </w:r>
    </w:p>
    <w:p w14:paraId="5F48323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Does not interact with MATLAB directly.</w:t>
      </w:r>
    </w:p>
    <w:p w14:paraId="604E1B37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Monitors progress intermittently.</w:t>
      </w:r>
    </w:p>
    <w:p w14:paraId="030E2F19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If PEDA fails:</w:t>
      </w:r>
    </w:p>
    <w:p w14:paraId="511CCDC7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Captures the failure output.</w:t>
      </w:r>
    </w:p>
    <w:p w14:paraId="365AEC27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Re-runs after other jobs complete to confirm whether failure was resource-related or data-related.</w:t>
      </w:r>
    </w:p>
    <w:p w14:paraId="16C98C96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Avoids running more than ~4 concurrent PEDA jobs.</w:t>
      </w:r>
    </w:p>
    <w:p w14:paraId="74ECB7F0" w14:textId="0061D28A" w:rsidR="00741184" w:rsidRDefault="00417573" w:rsidP="00515B34">
      <w:pPr>
        <w:rPr>
          <w:rFonts w:ascii="Arial" w:hAnsi="Arial" w:cs="Arial"/>
        </w:rPr>
      </w:pPr>
      <w:r w:rsidRPr="00417573">
        <w:rPr>
          <w:rFonts w:ascii="Arial" w:hAnsi="Arial" w:cs="Arial"/>
        </w:rPr>
        <w:lastRenderedPageBreak/>
        <w:drawing>
          <wp:inline distT="0" distB="0" distL="0" distR="0" wp14:anchorId="43D6B580" wp14:editId="622CCCDE">
            <wp:extent cx="4140200" cy="2097524"/>
            <wp:effectExtent l="0" t="0" r="0" b="0"/>
            <wp:docPr id="19918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8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204" cy="20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821D" w14:textId="10FC0F9D" w:rsidR="00417573" w:rsidRDefault="00394FBF" w:rsidP="00515B34">
      <w:pPr>
        <w:rPr>
          <w:rFonts w:ascii="Arial" w:hAnsi="Arial" w:cs="Arial"/>
        </w:rPr>
      </w:pPr>
      <w:r>
        <w:rPr>
          <w:rFonts w:ascii="Arial" w:hAnsi="Arial" w:cs="Arial"/>
        </w:rPr>
        <w:t>(22:16)</w:t>
      </w:r>
      <w:r w:rsidR="00013A9F">
        <w:rPr>
          <w:rFonts w:ascii="Arial" w:hAnsi="Arial" w:cs="Arial"/>
        </w:rPr>
        <w:t xml:space="preserve"> Just before PEDA run</w:t>
      </w:r>
    </w:p>
    <w:p w14:paraId="4D7B1183" w14:textId="64300088" w:rsidR="00935DA4" w:rsidRDefault="00935DA4" w:rsidP="00515B34">
      <w:pPr>
        <w:rPr>
          <w:rFonts w:ascii="Arial" w:hAnsi="Arial" w:cs="Arial"/>
        </w:rPr>
      </w:pPr>
      <w:r w:rsidRPr="00935DA4">
        <w:rPr>
          <w:rFonts w:ascii="Arial" w:hAnsi="Arial" w:cs="Arial"/>
        </w:rPr>
        <w:drawing>
          <wp:inline distT="0" distB="0" distL="0" distR="0" wp14:anchorId="20914B6F" wp14:editId="7BFE663A">
            <wp:extent cx="4256041" cy="1796995"/>
            <wp:effectExtent l="0" t="0" r="0" b="0"/>
            <wp:docPr id="146450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07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127" cy="179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BEB8" w14:textId="1E48B7B3" w:rsidR="00935DA4" w:rsidRDefault="0016252B" w:rsidP="00515B34">
      <w:pPr>
        <w:rPr>
          <w:rFonts w:ascii="Arial" w:hAnsi="Arial" w:cs="Arial"/>
        </w:rPr>
      </w:pPr>
      <w:r>
        <w:rPr>
          <w:rFonts w:ascii="Arial" w:hAnsi="Arial" w:cs="Arial"/>
        </w:rPr>
        <w:t>(35:54)</w:t>
      </w:r>
      <w:r w:rsidR="00013A9F">
        <w:rPr>
          <w:rFonts w:ascii="Arial" w:hAnsi="Arial" w:cs="Arial"/>
        </w:rPr>
        <w:t xml:space="preserve"> </w:t>
      </w:r>
      <w:r w:rsidR="00013A9F">
        <w:rPr>
          <w:rFonts w:ascii="Arial" w:hAnsi="Arial" w:cs="Arial"/>
        </w:rPr>
        <w:t xml:space="preserve">Just </w:t>
      </w:r>
      <w:r w:rsidR="00013A9F">
        <w:rPr>
          <w:rFonts w:ascii="Arial" w:hAnsi="Arial" w:cs="Arial"/>
        </w:rPr>
        <w:t>after</w:t>
      </w:r>
      <w:r w:rsidR="00013A9F">
        <w:rPr>
          <w:rFonts w:ascii="Arial" w:hAnsi="Arial" w:cs="Arial"/>
        </w:rPr>
        <w:t xml:space="preserve"> PEDA run</w:t>
      </w:r>
    </w:p>
    <w:p w14:paraId="3B876BEB" w14:textId="151E9103" w:rsidR="00645F5F" w:rsidRDefault="00645F5F" w:rsidP="00515B34">
      <w:pPr>
        <w:rPr>
          <w:rFonts w:ascii="Arial" w:hAnsi="Arial" w:cs="Arial"/>
        </w:rPr>
      </w:pPr>
      <w:r w:rsidRPr="00645F5F">
        <w:rPr>
          <w:rFonts w:ascii="Arial" w:hAnsi="Arial" w:cs="Arial"/>
        </w:rPr>
        <w:drawing>
          <wp:inline distT="0" distB="0" distL="0" distR="0" wp14:anchorId="50ADD510" wp14:editId="37D3B0C3">
            <wp:extent cx="5534797" cy="2514951"/>
            <wp:effectExtent l="0" t="0" r="8890" b="0"/>
            <wp:docPr id="153223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3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D392" w14:textId="381ECD38" w:rsidR="0016252B" w:rsidRDefault="00C95D86" w:rsidP="00515B34">
      <w:pPr>
        <w:rPr>
          <w:rFonts w:ascii="Arial" w:hAnsi="Arial" w:cs="Arial"/>
        </w:rPr>
      </w:pPr>
      <w:r w:rsidRPr="00C95D86">
        <w:rPr>
          <w:rFonts w:ascii="Arial" w:hAnsi="Arial" w:cs="Arial"/>
        </w:rPr>
        <w:lastRenderedPageBreak/>
        <w:drawing>
          <wp:inline distT="0" distB="0" distL="0" distR="0" wp14:anchorId="10B3C0DA" wp14:editId="1AAA5FB7">
            <wp:extent cx="4587903" cy="2503210"/>
            <wp:effectExtent l="0" t="0" r="3175" b="0"/>
            <wp:docPr id="2990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4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6671" cy="250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247D" w14:textId="380E7460" w:rsidR="00C95D86" w:rsidRDefault="00C95D86" w:rsidP="00515B34">
      <w:pPr>
        <w:rPr>
          <w:rFonts w:ascii="Arial" w:hAnsi="Arial" w:cs="Arial"/>
        </w:rPr>
      </w:pPr>
      <w:r>
        <w:rPr>
          <w:rFonts w:ascii="Arial" w:hAnsi="Arial" w:cs="Arial"/>
        </w:rPr>
        <w:t>(38:13)</w:t>
      </w:r>
      <w:r w:rsidR="00013A9F">
        <w:rPr>
          <w:rFonts w:ascii="Arial" w:hAnsi="Arial" w:cs="Arial"/>
        </w:rPr>
        <w:t xml:space="preserve"> What a TDC Session </w:t>
      </w:r>
      <w:r w:rsidR="00BC4D1A">
        <w:rPr>
          <w:rFonts w:ascii="Arial" w:hAnsi="Arial" w:cs="Arial"/>
        </w:rPr>
        <w:t>directory contains</w:t>
      </w:r>
      <w:r w:rsidR="00645F5F">
        <w:rPr>
          <w:rFonts w:ascii="Arial" w:hAnsi="Arial" w:cs="Arial"/>
        </w:rPr>
        <w:t xml:space="preserve"> ( single session)</w:t>
      </w:r>
    </w:p>
    <w:p w14:paraId="79098B40" w14:textId="7D946D22" w:rsidR="0000132D" w:rsidRDefault="0000132D" w:rsidP="00515B34">
      <w:pPr>
        <w:rPr>
          <w:rFonts w:ascii="Arial" w:hAnsi="Arial" w:cs="Arial"/>
        </w:rPr>
      </w:pPr>
      <w:r w:rsidRPr="0000132D">
        <w:rPr>
          <w:rFonts w:ascii="Arial" w:hAnsi="Arial" w:cs="Arial"/>
        </w:rPr>
        <w:drawing>
          <wp:inline distT="0" distB="0" distL="0" distR="0" wp14:anchorId="422BBA78" wp14:editId="0036E6D2">
            <wp:extent cx="4333461" cy="2611188"/>
            <wp:effectExtent l="0" t="0" r="0" b="0"/>
            <wp:docPr id="110954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9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9497" cy="26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F1C6" w14:textId="3951E47F" w:rsidR="0000132D" w:rsidRPr="00045FB0" w:rsidRDefault="00013A9F" w:rsidP="00515B34">
      <w:pPr>
        <w:rPr>
          <w:rFonts w:ascii="Arial" w:hAnsi="Arial" w:cs="Arial"/>
        </w:rPr>
      </w:pPr>
      <w:r>
        <w:rPr>
          <w:rFonts w:ascii="Arial" w:hAnsi="Arial" w:cs="Arial"/>
        </w:rPr>
        <w:t>Delete .mat files from Video directory (easy script)</w:t>
      </w:r>
    </w:p>
    <w:p w14:paraId="3073098F" w14:textId="68B381A8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9. Post-PEDA cleanup</w:t>
      </w:r>
    </w:p>
    <w:p w14:paraId="3A59C77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Zips DICOM data, deleting raw folders after compression.</w:t>
      </w:r>
    </w:p>
    <w:p w14:paraId="36DC4B82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Separates PEDA outputs into:</w:t>
      </w:r>
    </w:p>
    <w:p w14:paraId="6E8B58CB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Full PEDA data</w:t>
      </w:r>
    </w:p>
    <w:p w14:paraId="3C2B563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Video-only folders (with large `.mat` files removed)</w:t>
      </w:r>
    </w:p>
    <w:p w14:paraId="650419F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Uses an additional script to strip `.mat` files from video folders.</w:t>
      </w:r>
    </w:p>
    <w:p w14:paraId="526101F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Zips final PEDA artifacts.</w:t>
      </w:r>
    </w:p>
    <w:p w14:paraId="4494E70A" w14:textId="17716F4A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>10. Upload and vaulting</w:t>
      </w:r>
    </w:p>
    <w:p w14:paraId="2FFFD324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Uploads all finalized ZIP files to Sync in one batch.</w:t>
      </w:r>
    </w:p>
    <w:p w14:paraId="1F1037EB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Waits for upload confirmation.</w:t>
      </w:r>
    </w:p>
    <w:p w14:paraId="0244F25B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Moves uploaded files from Sync staging into the appropriate vault locations:</w:t>
      </w:r>
    </w:p>
    <w:p w14:paraId="1854042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DICOM</w:t>
      </w:r>
    </w:p>
    <w:p w14:paraId="7992FDB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TDC sessions</w:t>
      </w:r>
    </w:p>
    <w:p w14:paraId="5920CCED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PEDA data</w:t>
      </w:r>
    </w:p>
    <w:p w14:paraId="0FAD5533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PEDA videos</w:t>
      </w:r>
    </w:p>
    <w:p w14:paraId="52A23B1B" w14:textId="74AC8DD9" w:rsidR="00515B34" w:rsidRPr="00045FB0" w:rsidRDefault="00515B34" w:rsidP="00515B34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t>11. Notification and closeout</w:t>
      </w:r>
    </w:p>
    <w:p w14:paraId="1FE282B6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Sends a standardized notification email indicating:</w:t>
      </w:r>
    </w:p>
    <w:p w14:paraId="2857410E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Site and treatment number</w:t>
      </w:r>
    </w:p>
    <w:p w14:paraId="3DC72BBF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Data uploaded</w:t>
      </w:r>
    </w:p>
    <w:p w14:paraId="3F1FFE9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 xml:space="preserve">    - PEDA run and uploaded</w:t>
      </w:r>
    </w:p>
    <w:p w14:paraId="47D43C91" w14:textId="77777777" w:rsidR="00515B34" w:rsidRPr="00045FB0" w:rsidRDefault="00515B34" w:rsidP="00515B34">
      <w:pPr>
        <w:rPr>
          <w:rFonts w:ascii="Arial" w:hAnsi="Arial" w:cs="Arial"/>
        </w:rPr>
      </w:pPr>
      <w:r w:rsidRPr="00045FB0">
        <w:rPr>
          <w:rFonts w:ascii="Arial" w:hAnsi="Arial" w:cs="Arial"/>
        </w:rPr>
        <w:t>- Uses consistent wording for searchability.</w:t>
      </w:r>
    </w:p>
    <w:p w14:paraId="5D145501" w14:textId="69F9E5BA" w:rsidR="00515B34" w:rsidRDefault="00515B34" w:rsidP="2085A593">
      <w:pPr>
        <w:rPr>
          <w:rFonts w:ascii="Arial" w:eastAsia="Aptos" w:hAnsi="Arial" w:cs="Arial"/>
        </w:rPr>
      </w:pPr>
      <w:r w:rsidRPr="2085A593">
        <w:rPr>
          <w:rFonts w:ascii="Arial" w:hAnsi="Arial" w:cs="Arial"/>
        </w:rPr>
        <w:t>- Marks the treatment as complete in the tracker.</w:t>
      </w:r>
    </w:p>
    <w:p w14:paraId="17EC5463" w14:textId="1A2DB072" w:rsidR="59FAF788" w:rsidRDefault="59FAF788" w:rsidP="2085A593">
      <w:pPr>
        <w:rPr>
          <w:rFonts w:ascii="Arial" w:eastAsia="Aptos" w:hAnsi="Arial" w:cs="Arial"/>
        </w:rPr>
      </w:pPr>
      <w:r w:rsidRPr="2085A593">
        <w:rPr>
          <w:rFonts w:ascii="Arial" w:eastAsia="Aptos" w:hAnsi="Arial" w:cs="Arial"/>
        </w:rPr>
        <w:t xml:space="preserve">- Copy the zipped </w:t>
      </w:r>
      <w:r w:rsidRPr="2085A593">
        <w:rPr>
          <w:rFonts w:ascii="Arial" w:eastAsia="Aptos" w:hAnsi="Arial" w:cs="Arial"/>
          <w:b/>
          <w:bCs/>
        </w:rPr>
        <w:t xml:space="preserve">TDC log </w:t>
      </w:r>
      <w:r w:rsidRPr="2085A593">
        <w:rPr>
          <w:rFonts w:ascii="Arial" w:eastAsia="Aptos" w:hAnsi="Arial" w:cs="Arial"/>
        </w:rPr>
        <w:t>to the Data Scientist NAS device for review.</w:t>
      </w:r>
    </w:p>
    <w:p w14:paraId="2D9F9EFA" w14:textId="26E1664F" w:rsidR="2085A593" w:rsidRDefault="2085A593" w:rsidP="2085A593">
      <w:pPr>
        <w:rPr>
          <w:rFonts w:ascii="Arial" w:hAnsi="Arial" w:cs="Arial"/>
        </w:rPr>
      </w:pPr>
    </w:p>
    <w:p w14:paraId="1C874D10" w14:textId="77777777" w:rsidR="009B546D" w:rsidRPr="00045FB0" w:rsidRDefault="009B546D" w:rsidP="00515B34">
      <w:pPr>
        <w:rPr>
          <w:rFonts w:ascii="Arial" w:hAnsi="Arial" w:cs="Arial"/>
        </w:rPr>
      </w:pPr>
    </w:p>
    <w:p w14:paraId="69A39AF5" w14:textId="0A6FBF0C" w:rsidR="00045FB0" w:rsidRDefault="00045F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D4909DD" w14:textId="442ECBDD" w:rsidR="009B546D" w:rsidRPr="00045FB0" w:rsidRDefault="009B546D" w:rsidP="009B546D">
      <w:pPr>
        <w:pStyle w:val="Heading1"/>
        <w:rPr>
          <w:rFonts w:ascii="Arial" w:hAnsi="Arial" w:cs="Arial"/>
        </w:rPr>
      </w:pPr>
      <w:r w:rsidRPr="00045FB0">
        <w:rPr>
          <w:rFonts w:ascii="Arial" w:hAnsi="Arial" w:cs="Arial"/>
        </w:rPr>
        <w:lastRenderedPageBreak/>
        <w:t>File organization</w:t>
      </w:r>
    </w:p>
    <w:p w14:paraId="53CED44F" w14:textId="58F00153" w:rsidR="00045FB0" w:rsidRPr="00045FB0" w:rsidRDefault="00045FB0" w:rsidP="00C1267B">
      <w:pPr>
        <w:rPr>
          <w:rFonts w:ascii="Arial" w:hAnsi="Arial" w:cs="Arial"/>
        </w:rPr>
      </w:pPr>
      <w:r w:rsidRPr="00045FB0">
        <w:rPr>
          <w:rFonts w:ascii="Arial" w:hAnsi="Arial" w:cs="Arial"/>
        </w:rPr>
        <w:t>Example</w:t>
      </w:r>
    </w:p>
    <w:p w14:paraId="0FFC8E79" w14:textId="3E2CB2A9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D:\Data_Clean\017_01-474\</w:t>
      </w:r>
    </w:p>
    <w:p w14:paraId="66F266DC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│</w:t>
      </w:r>
    </w:p>
    <w:p w14:paraId="7C60FAE2" w14:textId="77777777" w:rsid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eastAsia="MS Gothic" w:hAnsi="Courier New" w:cs="Courier New"/>
        </w:rPr>
        <w:t>├</w:t>
      </w:r>
      <w:r w:rsidRPr="00C1267B">
        <w:rPr>
          <w:rFonts w:ascii="Courier New" w:hAnsi="Courier New" w:cs="Courier New"/>
        </w:rPr>
        <w:t>── 017_01-474 Misc\</w:t>
      </w:r>
    </w:p>
    <w:p w14:paraId="68AABA5B" w14:textId="5B45F938" w:rsidR="007D3EA4" w:rsidRPr="00C1267B" w:rsidRDefault="007D3EA4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│   └──</w:t>
      </w:r>
      <w:r>
        <w:rPr>
          <w:rFonts w:ascii="Courier New" w:hAnsi="Courier New" w:cs="Courier New"/>
        </w:rPr>
        <w:t xml:space="preserve"> 017_01-474</w:t>
      </w:r>
      <w:r w:rsidR="00E51F31">
        <w:rPr>
          <w:rFonts w:ascii="Courier New" w:hAnsi="Courier New" w:cs="Courier New"/>
        </w:rPr>
        <w:t>_</w:t>
      </w:r>
      <w:r w:rsidR="00327A6B">
        <w:rPr>
          <w:rFonts w:ascii="Courier New" w:hAnsi="Courier New" w:cs="Courier New"/>
        </w:rPr>
        <w:t>TreatmentReport.pdf</w:t>
      </w:r>
    </w:p>
    <w:p w14:paraId="2F859EB2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eastAsia="MS Gothic" w:hAnsi="Courier New" w:cs="Courier New"/>
        </w:rPr>
        <w:t>├</w:t>
      </w:r>
      <w:r w:rsidRPr="00C1267B">
        <w:rPr>
          <w:rFonts w:ascii="Courier New" w:hAnsi="Courier New" w:cs="Courier New"/>
        </w:rPr>
        <w:t>── 017_01-474 MR DICOM\</w:t>
      </w:r>
    </w:p>
    <w:p w14:paraId="3425F067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│   └── 017_01-474_MRI.zip</w:t>
      </w:r>
    </w:p>
    <w:p w14:paraId="2E845BD0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eastAsia="MS Gothic" w:hAnsi="Courier New" w:cs="Courier New"/>
        </w:rPr>
        <w:t>├</w:t>
      </w:r>
      <w:r w:rsidRPr="00C1267B">
        <w:rPr>
          <w:rFonts w:ascii="Courier New" w:hAnsi="Courier New" w:cs="Courier New"/>
        </w:rPr>
        <w:t>── 017_01-474 PEDAv9.1.3-Data.zip</w:t>
      </w:r>
    </w:p>
    <w:p w14:paraId="26C2FD7A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>└── 017_01-474 TDC Sessions\</w:t>
      </w:r>
    </w:p>
    <w:p w14:paraId="2182ECAA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 xml:space="preserve">    </w:t>
      </w:r>
      <w:r w:rsidRPr="00C1267B">
        <w:rPr>
          <w:rFonts w:ascii="Courier New" w:eastAsia="MS Gothic" w:hAnsi="Courier New" w:cs="Courier New"/>
        </w:rPr>
        <w:t>├</w:t>
      </w:r>
      <w:r w:rsidRPr="00C1267B">
        <w:rPr>
          <w:rFonts w:ascii="Courier New" w:hAnsi="Courier New" w:cs="Courier New"/>
        </w:rPr>
        <w:t>── applog\Logs\</w:t>
      </w:r>
    </w:p>
    <w:p w14:paraId="36BE0A34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 xml:space="preserve">    │   └── 017-01-474_log.txt</w:t>
      </w:r>
    </w:p>
    <w:p w14:paraId="339A3B91" w14:textId="77777777" w:rsidR="00C1267B" w:rsidRPr="00C1267B" w:rsidRDefault="00C1267B" w:rsidP="00C1267B">
      <w:pPr>
        <w:rPr>
          <w:rFonts w:ascii="Courier New" w:hAnsi="Courier New" w:cs="Courier New"/>
        </w:rPr>
      </w:pPr>
      <w:r w:rsidRPr="00C1267B">
        <w:rPr>
          <w:rFonts w:ascii="Courier New" w:hAnsi="Courier New" w:cs="Courier New"/>
        </w:rPr>
        <w:t xml:space="preserve">    └── Raw\2025-09-29\</w:t>
      </w:r>
    </w:p>
    <w:p w14:paraId="59647EF3" w14:textId="77777777" w:rsidR="009B546D" w:rsidRPr="00045FB0" w:rsidRDefault="009B546D" w:rsidP="009B546D">
      <w:pPr>
        <w:rPr>
          <w:rFonts w:ascii="Arial" w:hAnsi="Arial" w:cs="Arial"/>
        </w:rPr>
      </w:pPr>
    </w:p>
    <w:sectPr w:rsidR="009B546D" w:rsidRPr="00045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34"/>
    <w:rsid w:val="0000132D"/>
    <w:rsid w:val="00013A9F"/>
    <w:rsid w:val="00045FB0"/>
    <w:rsid w:val="000E3494"/>
    <w:rsid w:val="001609CD"/>
    <w:rsid w:val="0016252B"/>
    <w:rsid w:val="001C01A4"/>
    <w:rsid w:val="00327A6B"/>
    <w:rsid w:val="00394FBF"/>
    <w:rsid w:val="003C55F2"/>
    <w:rsid w:val="003D7122"/>
    <w:rsid w:val="00417573"/>
    <w:rsid w:val="004E2931"/>
    <w:rsid w:val="005148F1"/>
    <w:rsid w:val="00515B34"/>
    <w:rsid w:val="0057187B"/>
    <w:rsid w:val="00645F5F"/>
    <w:rsid w:val="00741184"/>
    <w:rsid w:val="007D3EA4"/>
    <w:rsid w:val="008322AE"/>
    <w:rsid w:val="00935DA4"/>
    <w:rsid w:val="0095711D"/>
    <w:rsid w:val="009B546D"/>
    <w:rsid w:val="00BC4D1A"/>
    <w:rsid w:val="00C1267B"/>
    <w:rsid w:val="00C44E72"/>
    <w:rsid w:val="00C95D86"/>
    <w:rsid w:val="00E51F31"/>
    <w:rsid w:val="00F1522D"/>
    <w:rsid w:val="2085A593"/>
    <w:rsid w:val="59FAF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1CD3"/>
  <w15:chartTrackingRefBased/>
  <w15:docId w15:val="{A97E86D5-E24C-4552-8412-FBA3125E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8</Pages>
  <Words>631</Words>
  <Characters>3367</Characters>
  <Application>Microsoft Office Word</Application>
  <DocSecurity>0</DocSecurity>
  <Lines>116</Lines>
  <Paragraphs>117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Sisco</dc:creator>
  <cp:keywords/>
  <dc:description/>
  <cp:lastModifiedBy>Nicholas Sisco</cp:lastModifiedBy>
  <cp:revision>29</cp:revision>
  <dcterms:created xsi:type="dcterms:W3CDTF">2026-01-05T20:11:00Z</dcterms:created>
  <dcterms:modified xsi:type="dcterms:W3CDTF">2026-01-07T22:19:00Z</dcterms:modified>
</cp:coreProperties>
</file>