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Cassian Rho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INTJ-A (The Architect – Assertive)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Cassian Rho — MBTI Breakdown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Type: INTJ-A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Nickname: The Strategist in Exile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Variant: Assertive (A) – Self-confident, focused, resistant to pressure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Cognitive Function Stack: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Dominant: Introverted Intuition (Ni)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Sees systems and patterns others miss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Long-term vision always in motion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Drawn to hidden meanings, especially when reality feels “off”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Cassian doesn’t just wonder what’s happening—he knows there’s a structure beneath 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Auxiliary: Extraverted Thinking (Te)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Pragmatic and efficient decision-maker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High-performance thinker: operates with limited data but high precision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a crisis, Cassian functions, even while unraveling internally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Tertiary: Introverted Feeling (Fi)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Private, deeply held values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Loyal to his own inner truth, even when it makes life harder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Fears moral compromise—would rather suffer than betray his core ethics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Inferior: Extraverted Sensing (Se)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Sensitive to physical tension and threat, but mistrusts the present moment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Dislikes being reactive—he prefers anticipation to improvisation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 stressful situations, he’s hyperaware of sensation but detached from it emotionally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Why INTJ-A Fits Cassian Rho: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Unyielding autonomy: He will never give up control of his mind, even if it costs him.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Trusts patterns, not people: He doesn't ignore emotion, he sees it as data—but never a directive.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Built for confrontation, but not for chaos: Cassian plans. Adapts. He doesn’t hope—he calculates.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Mask of composure: What looks like calm is structured resistance. Even silence is architecture.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type is rare—about 0.8% of the population—and typically appears in fiction as the lone genius, reluctant tactician, or morally complex survivor.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Want to build a contrast character for him next? (e.g., a Reversionist or a Hive loyalist?) Or dive deeper into how his Ni/Te combo affects upcoming scenes?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