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INV-010  </w:t>
      </w:r>
      <w:r>
        <w:t>Date: 2025-11-01</w:t>
        <w:br/>
      </w:r>
      <w:r>
        <w:rPr>
          <w:b/>
        </w:rPr>
        <w:t xml:space="preserve">PO Number: 2151002393  </w:t>
      </w:r>
      <w:r>
        <w:t>Due Date: N/A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Consulting Services - Q4 2025</w:t>
      </w:r>
    </w:p>
    <w:p/>
    <w:p>
      <w:r>
        <w:rPr>
          <w:b/>
        </w:rPr>
        <w:t xml:space="preserve">Amount: </w:t>
      </w:r>
      <w:r>
        <w:t>$15,000.00 USD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>
        <w:t>Not specified</w:t>
      </w:r>
    </w:p>
    <w:p/>
    <w:p>
      <w:r>
        <w:rPr>
          <w:b/>
          <w:color w:val="FFA500"/>
        </w:rPr>
        <w:t>Status: ⚠ FLAGGED</w:t>
      </w:r>
    </w:p>
    <w:p>
      <w:r>
        <w:rPr>
          <w:b/>
        </w:rPr>
        <w:t xml:space="preserve">Reason: </w:t>
      </w:r>
      <w:r>
        <w:t>Duplicate invoice detection - amount and date match previous invoice</w:t>
      </w:r>
    </w:p>
    <w:p/>
    <w:p>
      <w:pPr>
        <w:pStyle w:val="Heading2"/>
      </w:pPr>
      <w:r>
        <w:t>Manual Review Required</w:t>
      </w:r>
    </w:p>
    <w:p>
      <w:pPr>
        <w:pStyle w:val="ListBullet"/>
      </w:pPr>
      <w:r>
        <w:rPr>
          <w:color w:val="FFA500"/>
        </w:rPr>
        <w:t>⚠ Potential duplicate: Matches INV-001 in amount and date</w:t>
      </w:r>
    </w:p>
    <w:p>
      <w:pPr>
        <w:pStyle w:val="ListBullet"/>
      </w:pPr>
      <w:r>
        <w:rPr>
          <w:color w:val="FFA500"/>
        </w:rPr>
        <w:t>⚠ Rule 'rejection_criteria' - Duplicate invoice detection</w:t>
      </w:r>
    </w:p>
    <w:p>
      <w:pPr>
        <w:pStyle w:val="ListBullet"/>
      </w:pPr>
      <w:r>
        <w:rPr>
          <w:color w:val="FFA500"/>
        </w:rPr>
        <w:t>Action: Cross-reference with INV-001 and contact vendor for clarification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