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595959"/>
          <w:sz w:val="32"/>
        </w:rPr>
        <w:t>LEAP PROJECT</w:t>
      </w:r>
    </w:p>
    <w:p>
      <w:pPr>
        <w:spacing w:before="600"/>
        <w:jc w:val="center"/>
      </w:pPr>
      <w:r>
        <w:rPr>
          <w:b/>
          <w:color w:val="0B2545"/>
          <w:sz w:val="56"/>
        </w:rPr>
        <w:t>Business Requirements Specification</w:t>
      </w:r>
    </w:p>
    <w:p>
      <w:pPr>
        <w:jc w:val="center"/>
      </w:pPr>
      <w:r>
        <w:rPr>
          <w:color w:val="595959"/>
          <w:sz w:val="32"/>
        </w:rPr>
        <w:t>Direct Trading Platform</w:t>
      </w:r>
    </w:p>
    <w:p>
      <w:pPr>
        <w:spacing w:before="1200"/>
        <w:jc w:val="center"/>
      </w:pPr>
      <w:r>
        <w:rPr>
          <w:i/>
          <w:sz w:val="24"/>
        </w:rPr>
        <w:t>Version 0.9 — Draft for Delivery Partner Response</w:t>
      </w:r>
    </w:p>
    <w:p>
      <w:pPr>
        <w:jc w:val="center"/>
      </w:pPr>
      <w:r>
        <w:rPr>
          <w:b/>
          <w:color w:val="B00000"/>
          <w:sz w:val="22"/>
        </w:rPr>
        <w:t>CONFIDENTIAL – Delivery Partner Distribution Only</w:t>
      </w:r>
    </w:p>
    <w:p>
      <w:r>
        <w:br w:type="page"/>
      </w:r>
    </w:p>
    <w:p>
      <w:pPr>
        <w:pStyle w:val="Heading1"/>
      </w:pPr>
      <w:r>
        <w:t>Document Control</w:t>
      </w:r>
    </w:p>
    <w:tbl>
      <w:tblPr>
        <w:tblStyle w:val="TableGrid"/>
        <w:tblW w:type="auto" w:w="0"/>
        <w:tblLook w:firstColumn="1" w:firstRow="1" w:lastColumn="0" w:lastRow="0" w:noHBand="0" w:noVBand="1" w:val="04A0"/>
      </w:tblPr>
      <w:tblGrid>
        <w:gridCol w:w="4873"/>
        <w:gridCol w:w="4873"/>
      </w:tblGrid>
      <w:tr>
        <w:tc>
          <w:tcPr>
            <w:tcW w:type="dxa" w:w="4873"/>
            <w:shd w:val="clear" w:fill="E8ECF1"/>
          </w:tcPr>
          <w:p>
            <w:r/>
            <w:r>
              <w:rPr>
                <w:b/>
                <w:sz w:val="20"/>
              </w:rPr>
              <w:t>Document reference</w:t>
            </w:r>
          </w:p>
        </w:tc>
        <w:tc>
          <w:tcPr>
            <w:tcW w:type="dxa" w:w="4873"/>
          </w:tcPr>
          <w:p>
            <w:r/>
            <w:r>
              <w:rPr>
                <w:b w:val="0"/>
                <w:sz w:val="20"/>
              </w:rPr>
              <w:t>LEAP-BRS-2026-014</w:t>
            </w:r>
          </w:p>
        </w:tc>
      </w:tr>
      <w:tr>
        <w:tc>
          <w:tcPr>
            <w:tcW w:type="dxa" w:w="4873"/>
            <w:shd w:val="clear" w:fill="E8ECF1"/>
          </w:tcPr>
          <w:p>
            <w:r/>
            <w:r>
              <w:rPr>
                <w:b/>
                <w:sz w:val="20"/>
              </w:rPr>
              <w:t>Version</w:t>
            </w:r>
          </w:p>
        </w:tc>
        <w:tc>
          <w:tcPr>
            <w:tcW w:type="dxa" w:w="4873"/>
          </w:tcPr>
          <w:p>
            <w:r/>
            <w:r>
              <w:rPr>
                <w:b w:val="0"/>
                <w:sz w:val="20"/>
              </w:rPr>
              <w:t>0.9</w:t>
            </w:r>
          </w:p>
        </w:tc>
      </w:tr>
      <w:tr>
        <w:tc>
          <w:tcPr>
            <w:tcW w:type="dxa" w:w="4873"/>
            <w:shd w:val="clear" w:fill="E8ECF1"/>
          </w:tcPr>
          <w:p>
            <w:r/>
            <w:r>
              <w:rPr>
                <w:b/>
                <w:sz w:val="20"/>
              </w:rPr>
              <w:t>Status</w:t>
            </w:r>
          </w:p>
        </w:tc>
        <w:tc>
          <w:tcPr>
            <w:tcW w:type="dxa" w:w="4873"/>
          </w:tcPr>
          <w:p>
            <w:r/>
            <w:r>
              <w:rPr>
                <w:b w:val="0"/>
                <w:sz w:val="20"/>
              </w:rPr>
              <w:t>Draft – issued for delivery partner response</w:t>
            </w:r>
          </w:p>
        </w:tc>
      </w:tr>
      <w:tr>
        <w:tc>
          <w:tcPr>
            <w:tcW w:type="dxa" w:w="4873"/>
            <w:shd w:val="clear" w:fill="E8ECF1"/>
          </w:tcPr>
          <w:p>
            <w:r/>
            <w:r>
              <w:rPr>
                <w:b/>
                <w:sz w:val="20"/>
              </w:rPr>
              <w:t>Classification</w:t>
            </w:r>
          </w:p>
        </w:tc>
        <w:tc>
          <w:tcPr>
            <w:tcW w:type="dxa" w:w="4873"/>
          </w:tcPr>
          <w:p>
            <w:r/>
            <w:r>
              <w:rPr>
                <w:b w:val="0"/>
                <w:sz w:val="20"/>
              </w:rPr>
              <w:t>Confidential</w:t>
            </w:r>
          </w:p>
        </w:tc>
      </w:tr>
      <w:tr>
        <w:tc>
          <w:tcPr>
            <w:tcW w:type="dxa" w:w="4873"/>
            <w:shd w:val="clear" w:fill="E8ECF1"/>
          </w:tcPr>
          <w:p>
            <w:r/>
            <w:r>
              <w:rPr>
                <w:b/>
                <w:sz w:val="20"/>
              </w:rPr>
              <w:t>Issue date</w:t>
            </w:r>
          </w:p>
        </w:tc>
        <w:tc>
          <w:tcPr>
            <w:tcW w:type="dxa" w:w="4873"/>
          </w:tcPr>
          <w:p>
            <w:r/>
            <w:r>
              <w:rPr>
                <w:b w:val="0"/>
                <w:sz w:val="20"/>
              </w:rPr>
              <w:t>20 August 2026</w:t>
            </w:r>
          </w:p>
        </w:tc>
      </w:tr>
      <w:tr>
        <w:tc>
          <w:tcPr>
            <w:tcW w:type="dxa" w:w="4873"/>
            <w:shd w:val="clear" w:fill="E8ECF1"/>
          </w:tcPr>
          <w:p>
            <w:r/>
            <w:r>
              <w:rPr>
                <w:b/>
                <w:sz w:val="20"/>
              </w:rPr>
              <w:t>Issued by</w:t>
            </w:r>
          </w:p>
        </w:tc>
        <w:tc>
          <w:tcPr>
            <w:tcW w:type="dxa" w:w="4873"/>
          </w:tcPr>
          <w:p>
            <w:r/>
            <w:r>
              <w:rPr>
                <w:b w:val="0"/>
                <w:sz w:val="20"/>
              </w:rPr>
              <w:t>Programme Sponsor, Digital Distribution</w:t>
            </w:r>
          </w:p>
        </w:tc>
      </w:tr>
      <w:tr>
        <w:tc>
          <w:tcPr>
            <w:tcW w:type="dxa" w:w="4873"/>
            <w:shd w:val="clear" w:fill="E8ECF1"/>
          </w:tcPr>
          <w:p>
            <w:r/>
            <w:r>
              <w:rPr>
                <w:b/>
                <w:sz w:val="20"/>
              </w:rPr>
              <w:t>Issued to</w:t>
            </w:r>
          </w:p>
        </w:tc>
        <w:tc>
          <w:tcPr>
            <w:tcW w:type="dxa" w:w="4873"/>
          </w:tcPr>
          <w:p>
            <w:r/>
            <w:r>
              <w:rPr>
                <w:b w:val="0"/>
                <w:sz w:val="20"/>
              </w:rPr>
              <w:t>Delivery Partner Teams</w:t>
            </w:r>
          </w:p>
        </w:tc>
      </w:tr>
      <w:tr>
        <w:tc>
          <w:tcPr>
            <w:tcW w:type="dxa" w:w="4873"/>
            <w:shd w:val="clear" w:fill="E8ECF1"/>
          </w:tcPr>
          <w:p>
            <w:r/>
            <w:r>
              <w:rPr>
                <w:b/>
                <w:sz w:val="20"/>
              </w:rPr>
              <w:t>Response required</w:t>
            </w:r>
          </w:p>
        </w:tc>
        <w:tc>
          <w:tcPr>
            <w:tcW w:type="dxa" w:w="4873"/>
          </w:tcPr>
          <w:p>
            <w:r/>
            <w:r>
              <w:rPr>
                <w:b w:val="0"/>
                <w:sz w:val="20"/>
              </w:rPr>
              <w:t>Outline proposal – see Section 12</w:t>
            </w:r>
          </w:p>
        </w:tc>
      </w:tr>
    </w:tbl>
    <w:p/>
    <w:p>
      <w:pPr>
        <w:pStyle w:val="Heading2"/>
      </w:pPr>
      <w:r>
        <w:t>Version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fill="0B2545"/>
          </w:tcPr>
          <w:p>
            <w:r/>
            <w:r>
              <w:rPr>
                <w:b/>
                <w:color w:val="FFFFFF"/>
                <w:sz w:val="20"/>
              </w:rPr>
              <w:t>Version</w:t>
            </w:r>
          </w:p>
        </w:tc>
        <w:tc>
          <w:tcPr>
            <w:tcW w:type="dxa" w:w="2436"/>
            <w:shd w:val="clear" w:fill="0B2545"/>
          </w:tcPr>
          <w:p>
            <w:r/>
            <w:r>
              <w:rPr>
                <w:b/>
                <w:color w:val="FFFFFF"/>
                <w:sz w:val="20"/>
              </w:rPr>
              <w:t>Date</w:t>
            </w:r>
          </w:p>
        </w:tc>
        <w:tc>
          <w:tcPr>
            <w:tcW w:type="dxa" w:w="2436"/>
            <w:shd w:val="clear" w:fill="0B2545"/>
          </w:tcPr>
          <w:p>
            <w:r/>
            <w:r>
              <w:rPr>
                <w:b/>
                <w:color w:val="FFFFFF"/>
                <w:sz w:val="20"/>
              </w:rPr>
              <w:t>Author</w:t>
            </w:r>
          </w:p>
        </w:tc>
        <w:tc>
          <w:tcPr>
            <w:tcW w:type="dxa" w:w="2436"/>
            <w:shd w:val="clear" w:fill="0B2545"/>
          </w:tcPr>
          <w:p>
            <w:r/>
            <w:r>
              <w:rPr>
                <w:b/>
                <w:color w:val="FFFFFF"/>
                <w:sz w:val="20"/>
              </w:rPr>
              <w:t>Summary of change</w:t>
            </w:r>
          </w:p>
        </w:tc>
      </w:tr>
      <w:tr>
        <w:tc>
          <w:tcPr>
            <w:tcW w:type="dxa" w:w="2436"/>
          </w:tcPr>
          <w:p>
            <w:r/>
            <w:r>
              <w:rPr>
                <w:b w:val="0"/>
                <w:sz w:val="20"/>
              </w:rPr>
              <w:t>0.7</w:t>
            </w:r>
          </w:p>
        </w:tc>
        <w:tc>
          <w:tcPr>
            <w:tcW w:type="dxa" w:w="2436"/>
          </w:tcPr>
          <w:p>
            <w:r/>
            <w:r>
              <w:rPr>
                <w:b w:val="0"/>
                <w:sz w:val="20"/>
              </w:rPr>
              <w:t>02 Jul 2026</w:t>
            </w:r>
          </w:p>
        </w:tc>
        <w:tc>
          <w:tcPr>
            <w:tcW w:type="dxa" w:w="2436"/>
          </w:tcPr>
          <w:p>
            <w:r/>
            <w:r>
              <w:rPr>
                <w:b w:val="0"/>
                <w:sz w:val="20"/>
              </w:rPr>
              <w:t>Programme Sponsor</w:t>
            </w:r>
          </w:p>
        </w:tc>
        <w:tc>
          <w:tcPr>
            <w:tcW w:type="dxa" w:w="2436"/>
          </w:tcPr>
          <w:p>
            <w:r/>
            <w:r>
              <w:rPr>
                <w:b w:val="0"/>
                <w:sz w:val="20"/>
              </w:rPr>
              <w:t>Initial internal draft</w:t>
            </w:r>
          </w:p>
        </w:tc>
      </w:tr>
      <w:tr>
        <w:tc>
          <w:tcPr>
            <w:tcW w:type="dxa" w:w="2436"/>
          </w:tcPr>
          <w:p>
            <w:r/>
            <w:r>
              <w:rPr>
                <w:b w:val="0"/>
                <w:sz w:val="20"/>
              </w:rPr>
              <w:t>0.8</w:t>
            </w:r>
          </w:p>
        </w:tc>
        <w:tc>
          <w:tcPr>
            <w:tcW w:type="dxa" w:w="2436"/>
          </w:tcPr>
          <w:p>
            <w:r/>
            <w:r>
              <w:rPr>
                <w:b w:val="0"/>
                <w:sz w:val="20"/>
              </w:rPr>
              <w:t>28 Jul 2026</w:t>
            </w:r>
          </w:p>
        </w:tc>
        <w:tc>
          <w:tcPr>
            <w:tcW w:type="dxa" w:w="2436"/>
          </w:tcPr>
          <w:p>
            <w:r/>
            <w:r>
              <w:rPr>
                <w:b w:val="0"/>
                <w:sz w:val="20"/>
              </w:rPr>
              <w:t>Programme Sponsor</w:t>
            </w:r>
          </w:p>
        </w:tc>
        <w:tc>
          <w:tcPr>
            <w:tcW w:type="dxa" w:w="2436"/>
          </w:tcPr>
          <w:p>
            <w:r/>
            <w:r>
              <w:rPr>
                <w:b w:val="0"/>
                <w:sz w:val="20"/>
              </w:rPr>
              <w:t>Incorporated feedback from Risk and Operations</w:t>
            </w:r>
          </w:p>
        </w:tc>
      </w:tr>
      <w:tr>
        <w:tc>
          <w:tcPr>
            <w:tcW w:type="dxa" w:w="2436"/>
          </w:tcPr>
          <w:p>
            <w:r/>
            <w:r>
              <w:rPr>
                <w:b w:val="0"/>
                <w:sz w:val="20"/>
              </w:rPr>
              <w:t>0.9</w:t>
            </w:r>
          </w:p>
        </w:tc>
        <w:tc>
          <w:tcPr>
            <w:tcW w:type="dxa" w:w="2436"/>
          </w:tcPr>
          <w:p>
            <w:r/>
            <w:r>
              <w:rPr>
                <w:b w:val="0"/>
                <w:sz w:val="20"/>
              </w:rPr>
              <w:t>20 Aug 2026</w:t>
            </w:r>
          </w:p>
        </w:tc>
        <w:tc>
          <w:tcPr>
            <w:tcW w:type="dxa" w:w="2436"/>
          </w:tcPr>
          <w:p>
            <w:r/>
            <w:r>
              <w:rPr>
                <w:b w:val="0"/>
                <w:sz w:val="20"/>
              </w:rPr>
              <w:t>Programme Sponsor</w:t>
            </w:r>
          </w:p>
        </w:tc>
        <w:tc>
          <w:tcPr>
            <w:tcW w:type="dxa" w:w="2436"/>
          </w:tcPr>
          <w:p>
            <w:r/>
            <w:r>
              <w:rPr>
                <w:b w:val="0"/>
                <w:sz w:val="20"/>
              </w:rPr>
              <w:t>Issued to delivery partners for response</w:t>
            </w:r>
          </w:p>
        </w:tc>
      </w:tr>
    </w:tbl>
    <w:p>
      <w:r>
        <w:br w:type="page"/>
      </w:r>
    </w:p>
    <w:p>
      <w:pPr>
        <w:pStyle w:val="Heading1"/>
      </w:pPr>
      <w:r>
        <w:t>1. Purpose of This Document</w:t>
      </w:r>
    </w:p>
    <w:p>
      <w:r>
        <w:t>This document sets out the business requirements for the LEAP Project, a direct-to-consumer trading platform. It describes what the business needs the platform to do and the standard of service it must meet. It does not prescribe how the platform should be built.</w:t>
      </w:r>
    </w:p>
    <w:p>
      <w:r>
        <w:t>This specification is issued to delivery partner teams as the basis for an outline proposal. Section 12 sets out what is required in response.</w:t>
      </w:r>
    </w:p>
    <w:p>
      <w:pPr>
        <w:pStyle w:val="Heading1"/>
      </w:pPr>
      <w:r>
        <w:t>2. Business Background</w:t>
      </w:r>
    </w:p>
    <w:p>
      <w:r>
        <w:t>The firm currently serves clients through advised channels: a phone-based dealing desk and a small number of relationship managers who place trades on clients’ behalf. Client research consistently identifies the same gap: clients want to see their positions and place trades themselves, in the moment, without waiting for a call back.</w:t>
      </w:r>
    </w:p>
    <w:p>
      <w:r>
        <w:t>The firm has approved investment in a direct trading platform that lets a retail client sign in, place an order, and see it reflected in their holdings without a dealer in the loop. This is a shift in how the firm operates: today, a person stands behind every trade and can catch a mistake before it settles. In the target platform, that judgement has to be designed into the system itself.</w:t>
      </w:r>
    </w:p>
    <w:p>
      <w:r>
        <w:t>The firm has no existing direct trading platform to migrate from. This is a new capability, not a replacement for one that already exists.</w:t>
      </w:r>
    </w:p>
    <w:p>
      <w:pPr>
        <w:pStyle w:val="Heading1"/>
      </w:pPr>
      <w:r>
        <w:t>3. Business Objectives</w:t>
      </w:r>
    </w:p>
    <w:p>
      <w:r>
        <w:t>The programme is judged against the following business objectives:</w:t>
      </w:r>
    </w:p>
    <w:p>
      <w:pPr>
        <w:pStyle w:val="ListBullet"/>
      </w:pPr>
      <w:r>
        <w:t>Let a retail client sign in, place an order, and see the outcome without staff intervention.</w:t>
      </w:r>
    </w:p>
    <w:p>
      <w:pPr>
        <w:pStyle w:val="ListBullet"/>
      </w:pPr>
      <w:r>
        <w:t>Give the firm a complete, trustworthy record of every order and its outcome, sufficient to answer a client dispute or a regulatory query without reconstruction work.</w:t>
      </w:r>
    </w:p>
    <w:p>
      <w:pPr>
        <w:pStyle w:val="ListBullet"/>
      </w:pPr>
      <w:r>
        <w:t>Give the business visibility into trading activity — volumes, instruments, client behaviour — to inform commercial and risk decisions, without that reporting slowing down or interfering with live trading.</w:t>
      </w:r>
    </w:p>
    <w:p>
      <w:pPr>
        <w:pStyle w:val="ListBullet"/>
      </w:pPr>
      <w:r>
        <w:t>Establish a platform the firm can extend, so that a capability identified as valuable after launch can be added without rebuilding what came before.</w:t>
      </w:r>
    </w:p>
    <w:p>
      <w:pPr>
        <w:pStyle w:val="Heading1"/>
      </w:pPr>
      <w:r>
        <w:t>4. Scope</w:t>
      </w:r>
    </w:p>
    <w:p>
      <w:pPr>
        <w:pStyle w:val="Heading2"/>
      </w:pPr>
      <w:r>
        <w:t>4.1 In Scope</w:t>
      </w:r>
    </w:p>
    <w:p>
      <w:pPr>
        <w:pStyle w:val="ListBullet"/>
      </w:pPr>
      <w:r>
        <w:t>Client registration and secure sign-in.</w:t>
      </w:r>
    </w:p>
    <w:p>
      <w:pPr>
        <w:pStyle w:val="ListBullet"/>
      </w:pPr>
      <w:r>
        <w:t>Order placement, validation, pricing and execution for the instrument classes listed in Section 8.4.</w:t>
      </w:r>
    </w:p>
    <w:p>
      <w:pPr>
        <w:pStyle w:val="ListBullet"/>
      </w:pPr>
      <w:r>
        <w:t>A client-facing view of current holdings, cash balance and order history.</w:t>
      </w:r>
    </w:p>
    <w:p>
      <w:pPr>
        <w:pStyle w:val="ListBullet"/>
      </w:pPr>
      <w:r>
        <w:t>A permanent, auditable record of every order and its outcome.</w:t>
      </w:r>
    </w:p>
    <w:p>
      <w:pPr>
        <w:pStyle w:val="ListBullet"/>
      </w:pPr>
      <w:r>
        <w:t>Internal reporting on trading activity, separate from the live trading system.</w:t>
      </w:r>
    </w:p>
    <w:p>
      <w:pPr>
        <w:pStyle w:val="ListBullet"/>
      </w:pPr>
      <w:r>
        <w:t>One additional capability, proposed and justified by the delivery team, that extends the platform’s value to clients or to the business.</w:t>
      </w:r>
    </w:p>
    <w:p>
      <w:pPr>
        <w:pStyle w:val="Heading2"/>
      </w:pPr>
      <w:r>
        <w:t>4.2 Out of Scope for This Phase</w:t>
      </w:r>
    </w:p>
    <w:p>
      <w:pPr>
        <w:pStyle w:val="ListBullet"/>
      </w:pPr>
      <w:r>
        <w:t>Advised or discretionary dealing — the existing phone desk continues unchanged.</w:t>
      </w:r>
    </w:p>
    <w:p>
      <w:pPr>
        <w:pStyle w:val="ListBullet"/>
      </w:pPr>
      <w:r>
        <w:t>Client onboarding and identity verification beyond a working sign-in — a representative fixture will be supplied so delivery is not blocked on this.</w:t>
      </w:r>
    </w:p>
    <w:p>
      <w:pPr>
        <w:pStyle w:val="ListBullet"/>
      </w:pPr>
      <w:r>
        <w:t>Payment and banking integration — cash movements are modelled within the platform; moving real money on or off it is a later phase.</w:t>
      </w:r>
    </w:p>
    <w:p>
      <w:pPr>
        <w:pStyle w:val="ListBullet"/>
      </w:pPr>
      <w:r>
        <w:t>Mobile native applications — the initial platform targets desktop browser access.</w:t>
      </w:r>
    </w:p>
    <w:p>
      <w:pPr>
        <w:pStyle w:val="Heading1"/>
      </w:pPr>
      <w:r>
        <w:t>5. Stakeholders</w:t>
      </w:r>
    </w:p>
    <w:tbl>
      <w:tblPr>
        <w:tblStyle w:val="TableGrid"/>
        <w:tblW w:type="auto" w:w="0"/>
        <w:jc w:val="center"/>
        <w:tblLook w:firstColumn="1" w:firstRow="1" w:lastColumn="0" w:lastRow="0" w:noHBand="0" w:noVBand="1" w:val="04A0"/>
      </w:tblPr>
      <w:tblGrid>
        <w:gridCol w:w="3249"/>
        <w:gridCol w:w="3249"/>
        <w:gridCol w:w="3249"/>
      </w:tblGrid>
      <w:tr>
        <w:tc>
          <w:tcPr>
            <w:tcW w:type="dxa" w:w="1020"/>
            <w:shd w:val="clear" w:fill="0B2545"/>
          </w:tcPr>
          <w:p>
            <w:r/>
            <w:r>
              <w:rPr>
                <w:b/>
                <w:color w:val="FFFFFF"/>
                <w:sz w:val="20"/>
              </w:rPr>
              <w:t>Stakeholder</w:t>
            </w:r>
          </w:p>
        </w:tc>
        <w:tc>
          <w:tcPr>
            <w:tcW w:type="dxa" w:w="6803"/>
            <w:shd w:val="clear" w:fill="0B2545"/>
          </w:tcPr>
          <w:p>
            <w:r/>
            <w:r>
              <w:rPr>
                <w:b/>
                <w:color w:val="FFFFFF"/>
                <w:sz w:val="20"/>
              </w:rPr>
              <w:t>Role</w:t>
            </w:r>
          </w:p>
        </w:tc>
        <w:tc>
          <w:tcPr>
            <w:tcW w:type="dxa" w:w="1247"/>
            <w:shd w:val="clear" w:fill="0B2545"/>
          </w:tcPr>
          <w:p>
            <w:r/>
            <w:r>
              <w:rPr>
                <w:b/>
                <w:color w:val="FFFFFF"/>
                <w:sz w:val="20"/>
              </w:rPr>
              <w:t>Interest</w:t>
            </w:r>
          </w:p>
        </w:tc>
      </w:tr>
      <w:tr>
        <w:tc>
          <w:tcPr>
            <w:tcW w:type="dxa" w:w="1020"/>
          </w:tcPr>
          <w:p>
            <w:r/>
            <w:r>
              <w:rPr>
                <w:b w:val="0"/>
                <w:sz w:val="20"/>
              </w:rPr>
              <w:t>Programme Sponsor</w:t>
            </w:r>
          </w:p>
        </w:tc>
        <w:tc>
          <w:tcPr>
            <w:tcW w:type="dxa" w:w="6803"/>
          </w:tcPr>
          <w:p>
            <w:r/>
            <w:r>
              <w:rPr>
                <w:b w:val="0"/>
                <w:sz w:val="20"/>
              </w:rPr>
              <w:t>Head of Digital Distribution</w:t>
            </w:r>
          </w:p>
        </w:tc>
        <w:tc>
          <w:tcPr>
            <w:tcW w:type="dxa" w:w="1247"/>
          </w:tcPr>
          <w:p>
            <w:r/>
            <w:r>
              <w:rPr>
                <w:b w:val="0"/>
                <w:sz w:val="20"/>
              </w:rPr>
              <w:t>Owns the business case and final sign-off</w:t>
            </w:r>
          </w:p>
        </w:tc>
      </w:tr>
      <w:tr>
        <w:tc>
          <w:tcPr>
            <w:tcW w:type="dxa" w:w="1020"/>
          </w:tcPr>
          <w:p>
            <w:r/>
            <w:r>
              <w:rPr>
                <w:b w:val="0"/>
                <w:sz w:val="20"/>
              </w:rPr>
              <w:t>Retail Client</w:t>
            </w:r>
          </w:p>
        </w:tc>
        <w:tc>
          <w:tcPr>
            <w:tcW w:type="dxa" w:w="6803"/>
          </w:tcPr>
          <w:p>
            <w:r/>
            <w:r>
              <w:rPr>
                <w:b w:val="0"/>
                <w:sz w:val="20"/>
              </w:rPr>
              <w:t>End user</w:t>
            </w:r>
          </w:p>
        </w:tc>
        <w:tc>
          <w:tcPr>
            <w:tcW w:type="dxa" w:w="1247"/>
          </w:tcPr>
          <w:p>
            <w:r/>
            <w:r>
              <w:rPr>
                <w:b w:val="0"/>
                <w:sz w:val="20"/>
              </w:rPr>
              <w:t>Places orders and reviews holdings</w:t>
            </w:r>
          </w:p>
        </w:tc>
      </w:tr>
      <w:tr>
        <w:tc>
          <w:tcPr>
            <w:tcW w:type="dxa" w:w="1020"/>
          </w:tcPr>
          <w:p>
            <w:r/>
            <w:r>
              <w:rPr>
                <w:b w:val="0"/>
                <w:sz w:val="20"/>
              </w:rPr>
              <w:t>Trading Desk</w:t>
            </w:r>
          </w:p>
        </w:tc>
        <w:tc>
          <w:tcPr>
            <w:tcW w:type="dxa" w:w="6803"/>
          </w:tcPr>
          <w:p>
            <w:r/>
            <w:r>
              <w:rPr>
                <w:b w:val="0"/>
                <w:sz w:val="20"/>
              </w:rPr>
              <w:t>Operations</w:t>
            </w:r>
          </w:p>
        </w:tc>
        <w:tc>
          <w:tcPr>
            <w:tcW w:type="dxa" w:w="1247"/>
          </w:tcPr>
          <w:p>
            <w:r/>
            <w:r>
              <w:rPr>
                <w:b w:val="0"/>
                <w:sz w:val="20"/>
              </w:rPr>
              <w:t>Owns the trading rules the platform must enforce</w:t>
            </w:r>
          </w:p>
        </w:tc>
      </w:tr>
      <w:tr>
        <w:tc>
          <w:tcPr>
            <w:tcW w:type="dxa" w:w="1020"/>
          </w:tcPr>
          <w:p>
            <w:r/>
            <w:r>
              <w:rPr>
                <w:b w:val="0"/>
                <w:sz w:val="20"/>
              </w:rPr>
              <w:t>Risk and Compliance</w:t>
            </w:r>
          </w:p>
        </w:tc>
        <w:tc>
          <w:tcPr>
            <w:tcW w:type="dxa" w:w="6803"/>
          </w:tcPr>
          <w:p>
            <w:r/>
            <w:r>
              <w:rPr>
                <w:b w:val="0"/>
                <w:sz w:val="20"/>
              </w:rPr>
              <w:t>Second line</w:t>
            </w:r>
          </w:p>
        </w:tc>
        <w:tc>
          <w:tcPr>
            <w:tcW w:type="dxa" w:w="1247"/>
          </w:tcPr>
          <w:p>
            <w:r/>
            <w:r>
              <w:rPr>
                <w:b w:val="0"/>
                <w:sz w:val="20"/>
              </w:rPr>
              <w:t>Owns audit, record-keeping and regulatory alignment</w:t>
            </w:r>
          </w:p>
        </w:tc>
      </w:tr>
      <w:tr>
        <w:tc>
          <w:tcPr>
            <w:tcW w:type="dxa" w:w="1020"/>
          </w:tcPr>
          <w:p>
            <w:r/>
            <w:r>
              <w:rPr>
                <w:b w:val="0"/>
                <w:sz w:val="20"/>
              </w:rPr>
              <w:t>Finance</w:t>
            </w:r>
          </w:p>
        </w:tc>
        <w:tc>
          <w:tcPr>
            <w:tcW w:type="dxa" w:w="6803"/>
          </w:tcPr>
          <w:p>
            <w:r/>
            <w:r>
              <w:rPr>
                <w:b w:val="0"/>
                <w:sz w:val="20"/>
              </w:rPr>
              <w:t>Second line</w:t>
            </w:r>
          </w:p>
        </w:tc>
        <w:tc>
          <w:tcPr>
            <w:tcW w:type="dxa" w:w="1247"/>
          </w:tcPr>
          <w:p>
            <w:r/>
            <w:r>
              <w:rPr>
                <w:b w:val="0"/>
                <w:sz w:val="20"/>
              </w:rPr>
              <w:t>Consumes reporting on trading activity and cash movement</w:t>
            </w:r>
          </w:p>
        </w:tc>
      </w:tr>
      <w:tr>
        <w:tc>
          <w:tcPr>
            <w:tcW w:type="dxa" w:w="1020"/>
          </w:tcPr>
          <w:p>
            <w:r/>
            <w:r>
              <w:rPr>
                <w:b w:val="0"/>
                <w:sz w:val="20"/>
              </w:rPr>
              <w:t>Delivery Partner</w:t>
            </w:r>
          </w:p>
        </w:tc>
        <w:tc>
          <w:tcPr>
            <w:tcW w:type="dxa" w:w="6803"/>
          </w:tcPr>
          <w:p>
            <w:r/>
            <w:r>
              <w:rPr>
                <w:b w:val="0"/>
                <w:sz w:val="20"/>
              </w:rPr>
              <w:t>External</w:t>
            </w:r>
          </w:p>
        </w:tc>
        <w:tc>
          <w:tcPr>
            <w:tcW w:type="dxa" w:w="1247"/>
          </w:tcPr>
          <w:p>
            <w:r/>
            <w:r>
              <w:rPr>
                <w:b w:val="0"/>
                <w:sz w:val="20"/>
              </w:rPr>
              <w:t>Designs, builds and presents the platform against this specification</w:t>
            </w:r>
          </w:p>
        </w:tc>
      </w:tr>
    </w:tbl>
    <w:p/>
    <w:p>
      <w:pPr>
        <w:pStyle w:val="Heading1"/>
      </w:pPr>
      <w:r>
        <w:t>6. User Personas</w:t>
      </w:r>
    </w:p>
    <w:p>
      <w:r>
        <w:t>“Joanna, self-directed investor.” Trades a personal portfolio alongside a full-time job. Checks positions in the evening and around news events. Wants to place a trade in under a minute and trust that what she sees on screen is her real position. Is not a trading professional and has no patience for jargon or multi-step confirmation flows.</w:t>
      </w:r>
    </w:p>
    <w:p>
      <w:r>
        <w:t>“David, head of trading operations.” Does not use the client-facing platform but is accountable for every trade it produces. Needs to be able to answer, for any trade a client disputes, exactly what happened and when — without asking engineering to dig through logs.</w:t>
      </w:r>
    </w:p>
    <w:p>
      <w:r>
        <w:t>“Priya, commercial analyst.” Reports monthly on trading volumes and client activity to the executive committee. Needs reliable historical data and cannot have her queries compete with live client trading for capacity.</w:t>
      </w:r>
    </w:p>
    <w:p>
      <w:pPr>
        <w:pStyle w:val="Heading1"/>
      </w:pPr>
      <w:r>
        <w:t>7. Business Requirements — How to Read This Section</w:t>
      </w:r>
    </w:p>
    <w:p>
      <w:r>
        <w:t>Each requirement is given a reference and a priority, using the following scale: Must — the platform does not meet the business objectives without this; Should — expected, and its absence should be justified if not delivered; Could — desirable if time allows.</w:t>
      </w:r>
    </w:p>
    <w:p>
      <w:r>
        <w:t>Requirements are stated in terms of the outcome the business needs. How that outcome is achieved — the architecture, the technology, the division of work into services — is for the delivery partner to propose.</w:t>
      </w:r>
    </w:p>
    <w:p>
      <w:pPr>
        <w:pStyle w:val="Heading1"/>
      </w:pPr>
      <w:r>
        <w:t>8. Business Requirements</w:t>
      </w:r>
    </w:p>
    <w:p>
      <w:pPr>
        <w:pStyle w:val="Heading2"/>
      </w:pPr>
      <w:r>
        <w:t>8.1 Identity and Access</w:t>
      </w:r>
    </w:p>
    <w:tbl>
      <w:tblPr>
        <w:tblStyle w:val="TableGrid"/>
        <w:tblW w:type="auto" w:w="0"/>
        <w:jc w:val="center"/>
        <w:tblLook w:firstColumn="1" w:firstRow="1" w:lastColumn="0" w:lastRow="0" w:noHBand="0" w:noVBand="1" w:val="04A0"/>
      </w:tblPr>
      <w:tblGrid>
        <w:gridCol w:w="3249"/>
        <w:gridCol w:w="3249"/>
        <w:gridCol w:w="3249"/>
      </w:tblGrid>
      <w:tr>
        <w:tc>
          <w:tcPr>
            <w:tcW w:type="dxa" w:w="1020"/>
            <w:shd w:val="clear" w:fill="0B2545"/>
          </w:tcPr>
          <w:p>
            <w:r/>
            <w:r>
              <w:rPr>
                <w:b/>
                <w:color w:val="FFFFFF"/>
                <w:sz w:val="20"/>
              </w:rPr>
              <w:t>Ref</w:t>
            </w:r>
          </w:p>
        </w:tc>
        <w:tc>
          <w:tcPr>
            <w:tcW w:type="dxa" w:w="6803"/>
            <w:shd w:val="clear" w:fill="0B2545"/>
          </w:tcPr>
          <w:p>
            <w:r/>
            <w:r>
              <w:rPr>
                <w:b/>
                <w:color w:val="FFFFFF"/>
                <w:sz w:val="20"/>
              </w:rPr>
              <w:t>Requirement</w:t>
            </w:r>
          </w:p>
        </w:tc>
        <w:tc>
          <w:tcPr>
            <w:tcW w:type="dxa" w:w="1247"/>
            <w:shd w:val="clear" w:fill="0B2545"/>
          </w:tcPr>
          <w:p>
            <w:r/>
            <w:r>
              <w:rPr>
                <w:b/>
                <w:color w:val="FFFFFF"/>
                <w:sz w:val="20"/>
              </w:rPr>
              <w:t>Priority</w:t>
            </w:r>
          </w:p>
        </w:tc>
      </w:tr>
      <w:tr>
        <w:tc>
          <w:tcPr>
            <w:tcW w:type="dxa" w:w="1020"/>
          </w:tcPr>
          <w:p>
            <w:r/>
            <w:r>
              <w:rPr>
                <w:b w:val="0"/>
                <w:sz w:val="20"/>
              </w:rPr>
              <w:t>BR-01</w:t>
            </w:r>
          </w:p>
        </w:tc>
        <w:tc>
          <w:tcPr>
            <w:tcW w:type="dxa" w:w="6803"/>
          </w:tcPr>
          <w:p>
            <w:r/>
            <w:r>
              <w:rPr>
                <w:b w:val="0"/>
                <w:sz w:val="20"/>
              </w:rPr>
              <w:t>A prospective client must be able to register for the platform and sign in securely on return visits.</w:t>
            </w:r>
          </w:p>
        </w:tc>
        <w:tc>
          <w:tcPr>
            <w:tcW w:type="dxa" w:w="1247"/>
          </w:tcPr>
          <w:p>
            <w:r/>
            <w:r>
              <w:rPr>
                <w:b w:val="0"/>
                <w:sz w:val="20"/>
              </w:rPr>
              <w:t>Must</w:t>
            </w:r>
          </w:p>
        </w:tc>
      </w:tr>
      <w:tr>
        <w:tc>
          <w:tcPr>
            <w:tcW w:type="dxa" w:w="1020"/>
          </w:tcPr>
          <w:p>
            <w:r/>
            <w:r>
              <w:rPr>
                <w:b w:val="0"/>
                <w:sz w:val="20"/>
              </w:rPr>
              <w:t>BR-02</w:t>
            </w:r>
          </w:p>
        </w:tc>
        <w:tc>
          <w:tcPr>
            <w:tcW w:type="dxa" w:w="6803"/>
          </w:tcPr>
          <w:p>
            <w:r/>
            <w:r>
              <w:rPr>
                <w:b w:val="0"/>
                <w:sz w:val="20"/>
              </w:rPr>
              <w:t>A client may only view and act on their own positions, cash and order history — never another client’s.</w:t>
            </w:r>
          </w:p>
        </w:tc>
        <w:tc>
          <w:tcPr>
            <w:tcW w:type="dxa" w:w="1247"/>
          </w:tcPr>
          <w:p>
            <w:r/>
            <w:r>
              <w:rPr>
                <w:b w:val="0"/>
                <w:sz w:val="20"/>
              </w:rPr>
              <w:t>Must</w:t>
            </w:r>
          </w:p>
        </w:tc>
      </w:tr>
      <w:tr>
        <w:tc>
          <w:tcPr>
            <w:tcW w:type="dxa" w:w="1020"/>
          </w:tcPr>
          <w:p>
            <w:r/>
            <w:r>
              <w:rPr>
                <w:b w:val="0"/>
                <w:sz w:val="20"/>
              </w:rPr>
              <w:t>BR-03</w:t>
            </w:r>
          </w:p>
        </w:tc>
        <w:tc>
          <w:tcPr>
            <w:tcW w:type="dxa" w:w="6803"/>
          </w:tcPr>
          <w:p>
            <w:r/>
            <w:r>
              <w:rPr>
                <w:b w:val="0"/>
                <w:sz w:val="20"/>
              </w:rPr>
              <w:t>A client’s signed-in session should be time-limited and revocable, so a compromised credential has bounded exposure.</w:t>
            </w:r>
          </w:p>
        </w:tc>
        <w:tc>
          <w:tcPr>
            <w:tcW w:type="dxa" w:w="1247"/>
          </w:tcPr>
          <w:p>
            <w:r/>
            <w:r>
              <w:rPr>
                <w:b w:val="0"/>
                <w:sz w:val="20"/>
              </w:rPr>
              <w:t>Should</w:t>
            </w:r>
          </w:p>
        </w:tc>
      </w:tr>
    </w:tbl>
    <w:p/>
    <w:p>
      <w:pPr>
        <w:pStyle w:val="Heading2"/>
      </w:pPr>
      <w:r>
        <w:t>8.2 Order Placement and Execution</w:t>
      </w:r>
    </w:p>
    <w:tbl>
      <w:tblPr>
        <w:tblStyle w:val="TableGrid"/>
        <w:tblW w:type="auto" w:w="0"/>
        <w:jc w:val="center"/>
        <w:tblLook w:firstColumn="1" w:firstRow="1" w:lastColumn="0" w:lastRow="0" w:noHBand="0" w:noVBand="1" w:val="04A0"/>
      </w:tblPr>
      <w:tblGrid>
        <w:gridCol w:w="3249"/>
        <w:gridCol w:w="3249"/>
        <w:gridCol w:w="3249"/>
      </w:tblGrid>
      <w:tr>
        <w:tc>
          <w:tcPr>
            <w:tcW w:type="dxa" w:w="1020"/>
            <w:shd w:val="clear" w:fill="0B2545"/>
          </w:tcPr>
          <w:p>
            <w:r/>
            <w:r>
              <w:rPr>
                <w:b/>
                <w:color w:val="FFFFFF"/>
                <w:sz w:val="20"/>
              </w:rPr>
              <w:t>Ref</w:t>
            </w:r>
          </w:p>
        </w:tc>
        <w:tc>
          <w:tcPr>
            <w:tcW w:type="dxa" w:w="6803"/>
            <w:shd w:val="clear" w:fill="0B2545"/>
          </w:tcPr>
          <w:p>
            <w:r/>
            <w:r>
              <w:rPr>
                <w:b/>
                <w:color w:val="FFFFFF"/>
                <w:sz w:val="20"/>
              </w:rPr>
              <w:t>Requirement</w:t>
            </w:r>
          </w:p>
        </w:tc>
        <w:tc>
          <w:tcPr>
            <w:tcW w:type="dxa" w:w="1247"/>
            <w:shd w:val="clear" w:fill="0B2545"/>
          </w:tcPr>
          <w:p>
            <w:r/>
            <w:r>
              <w:rPr>
                <w:b/>
                <w:color w:val="FFFFFF"/>
                <w:sz w:val="20"/>
              </w:rPr>
              <w:t>Priority</w:t>
            </w:r>
          </w:p>
        </w:tc>
      </w:tr>
      <w:tr>
        <w:tc>
          <w:tcPr>
            <w:tcW w:type="dxa" w:w="1020"/>
          </w:tcPr>
          <w:p>
            <w:r/>
            <w:r>
              <w:rPr>
                <w:b w:val="0"/>
                <w:sz w:val="20"/>
              </w:rPr>
              <w:t>BR-04</w:t>
            </w:r>
          </w:p>
        </w:tc>
        <w:tc>
          <w:tcPr>
            <w:tcW w:type="dxa" w:w="6803"/>
          </w:tcPr>
          <w:p>
            <w:r/>
            <w:r>
              <w:rPr>
                <w:b w:val="0"/>
                <w:sz w:val="20"/>
              </w:rPr>
              <w:t>A client must be able to submit an order to buy or sell a supported instrument.</w:t>
            </w:r>
          </w:p>
        </w:tc>
        <w:tc>
          <w:tcPr>
            <w:tcW w:type="dxa" w:w="1247"/>
          </w:tcPr>
          <w:p>
            <w:r/>
            <w:r>
              <w:rPr>
                <w:b w:val="0"/>
                <w:sz w:val="20"/>
              </w:rPr>
              <w:t>Must</w:t>
            </w:r>
          </w:p>
        </w:tc>
      </w:tr>
      <w:tr>
        <w:tc>
          <w:tcPr>
            <w:tcW w:type="dxa" w:w="1020"/>
          </w:tcPr>
          <w:p>
            <w:r/>
            <w:r>
              <w:rPr>
                <w:b w:val="0"/>
                <w:sz w:val="20"/>
              </w:rPr>
              <w:t>BR-05</w:t>
            </w:r>
          </w:p>
        </w:tc>
        <w:tc>
          <w:tcPr>
            <w:tcW w:type="dxa" w:w="6803"/>
          </w:tcPr>
          <w:p>
            <w:r/>
            <w:r>
              <w:rPr>
                <w:b w:val="0"/>
                <w:sz w:val="20"/>
              </w:rPr>
              <w:t>Every order must be checked against the firm’s trading rules (for example, sufficient cash or holding, instrument currently tradable) before it is accepted.</w:t>
            </w:r>
          </w:p>
        </w:tc>
        <w:tc>
          <w:tcPr>
            <w:tcW w:type="dxa" w:w="1247"/>
          </w:tcPr>
          <w:p>
            <w:r/>
            <w:r>
              <w:rPr>
                <w:b w:val="0"/>
                <w:sz w:val="20"/>
              </w:rPr>
              <w:t>Must</w:t>
            </w:r>
          </w:p>
        </w:tc>
      </w:tr>
      <w:tr>
        <w:tc>
          <w:tcPr>
            <w:tcW w:type="dxa" w:w="1020"/>
          </w:tcPr>
          <w:p>
            <w:r/>
            <w:r>
              <w:rPr>
                <w:b w:val="0"/>
                <w:sz w:val="20"/>
              </w:rPr>
              <w:t>BR-06</w:t>
            </w:r>
          </w:p>
        </w:tc>
        <w:tc>
          <w:tcPr>
            <w:tcW w:type="dxa" w:w="6803"/>
          </w:tcPr>
          <w:p>
            <w:r/>
            <w:r>
              <w:rPr>
                <w:b w:val="0"/>
                <w:sz w:val="20"/>
              </w:rPr>
              <w:t>An accepted order must be recorded as a firm commitment before it is executed. Execution happens afterwards and separately, and can fail or be delayed — the record of intent must not depend on execution succeeding.</w:t>
            </w:r>
          </w:p>
        </w:tc>
        <w:tc>
          <w:tcPr>
            <w:tcW w:type="dxa" w:w="1247"/>
          </w:tcPr>
          <w:p>
            <w:r/>
            <w:r>
              <w:rPr>
                <w:b w:val="0"/>
                <w:sz w:val="20"/>
              </w:rPr>
              <w:t>Must</w:t>
            </w:r>
          </w:p>
        </w:tc>
      </w:tr>
      <w:tr>
        <w:tc>
          <w:tcPr>
            <w:tcW w:type="dxa" w:w="1020"/>
          </w:tcPr>
          <w:p>
            <w:r/>
            <w:r>
              <w:rPr>
                <w:b w:val="0"/>
                <w:sz w:val="20"/>
              </w:rPr>
              <w:t>BR-07</w:t>
            </w:r>
          </w:p>
        </w:tc>
        <w:tc>
          <w:tcPr>
            <w:tcW w:type="dxa" w:w="6803"/>
          </w:tcPr>
          <w:p>
            <w:r/>
            <w:r>
              <w:rPr>
                <w:b w:val="0"/>
                <w:sz w:val="20"/>
              </w:rPr>
              <w:t>A client must be able to see an order’s status change — submitted, accepted, filled or rejected — without manually refreshing the page.</w:t>
            </w:r>
          </w:p>
        </w:tc>
        <w:tc>
          <w:tcPr>
            <w:tcW w:type="dxa" w:w="1247"/>
          </w:tcPr>
          <w:p>
            <w:r/>
            <w:r>
              <w:rPr>
                <w:b w:val="0"/>
                <w:sz w:val="20"/>
              </w:rPr>
              <w:t>Should</w:t>
            </w:r>
          </w:p>
        </w:tc>
      </w:tr>
      <w:tr>
        <w:tc>
          <w:tcPr>
            <w:tcW w:type="dxa" w:w="1020"/>
          </w:tcPr>
          <w:p>
            <w:r/>
            <w:r>
              <w:rPr>
                <w:b w:val="0"/>
                <w:sz w:val="20"/>
              </w:rPr>
              <w:t>BR-08</w:t>
            </w:r>
          </w:p>
        </w:tc>
        <w:tc>
          <w:tcPr>
            <w:tcW w:type="dxa" w:w="6803"/>
          </w:tcPr>
          <w:p>
            <w:r/>
            <w:r>
              <w:rPr>
                <w:b w:val="0"/>
                <w:sz w:val="20"/>
              </w:rPr>
              <w:t>An order must be priced against a current market quote at the point of execution, and filled or rejected on that basis.</w:t>
            </w:r>
          </w:p>
        </w:tc>
        <w:tc>
          <w:tcPr>
            <w:tcW w:type="dxa" w:w="1247"/>
          </w:tcPr>
          <w:p>
            <w:r/>
            <w:r>
              <w:rPr>
                <w:b w:val="0"/>
                <w:sz w:val="20"/>
              </w:rPr>
              <w:t>Must</w:t>
            </w:r>
          </w:p>
        </w:tc>
      </w:tr>
      <w:tr>
        <w:tc>
          <w:tcPr>
            <w:tcW w:type="dxa" w:w="1020"/>
          </w:tcPr>
          <w:p>
            <w:r/>
            <w:r>
              <w:rPr>
                <w:b w:val="0"/>
                <w:sz w:val="20"/>
              </w:rPr>
              <w:t>BR-09</w:t>
            </w:r>
          </w:p>
        </w:tc>
        <w:tc>
          <w:tcPr>
            <w:tcW w:type="dxa" w:w="6803"/>
          </w:tcPr>
          <w:p>
            <w:r/>
            <w:r>
              <w:rPr>
                <w:b w:val="0"/>
                <w:sz w:val="20"/>
              </w:rPr>
              <w:t>When an order is filled, the client’s holdings, their cash balance and the permanent trade record must all update together. None of the three may update without the others, even if the platform fails partway through.</w:t>
            </w:r>
          </w:p>
        </w:tc>
        <w:tc>
          <w:tcPr>
            <w:tcW w:type="dxa" w:w="1247"/>
          </w:tcPr>
          <w:p>
            <w:r/>
            <w:r>
              <w:rPr>
                <w:b w:val="0"/>
                <w:sz w:val="20"/>
              </w:rPr>
              <w:t>Must</w:t>
            </w:r>
          </w:p>
        </w:tc>
      </w:tr>
    </w:tbl>
    <w:p/>
    <w:p>
      <w:pPr>
        <w:pStyle w:val="Heading2"/>
      </w:pPr>
      <w:r>
        <w:t>8.3 Positions, Cash and Statements</w:t>
      </w:r>
    </w:p>
    <w:tbl>
      <w:tblPr>
        <w:tblStyle w:val="TableGrid"/>
        <w:tblW w:type="auto" w:w="0"/>
        <w:jc w:val="center"/>
        <w:tblLook w:firstColumn="1" w:firstRow="1" w:lastColumn="0" w:lastRow="0" w:noHBand="0" w:noVBand="1" w:val="04A0"/>
      </w:tblPr>
      <w:tblGrid>
        <w:gridCol w:w="3249"/>
        <w:gridCol w:w="3249"/>
        <w:gridCol w:w="3249"/>
      </w:tblGrid>
      <w:tr>
        <w:tc>
          <w:tcPr>
            <w:tcW w:type="dxa" w:w="1020"/>
            <w:shd w:val="clear" w:fill="0B2545"/>
          </w:tcPr>
          <w:p>
            <w:r/>
            <w:r>
              <w:rPr>
                <w:b/>
                <w:color w:val="FFFFFF"/>
                <w:sz w:val="20"/>
              </w:rPr>
              <w:t>Ref</w:t>
            </w:r>
          </w:p>
        </w:tc>
        <w:tc>
          <w:tcPr>
            <w:tcW w:type="dxa" w:w="6803"/>
            <w:shd w:val="clear" w:fill="0B2545"/>
          </w:tcPr>
          <w:p>
            <w:r/>
            <w:r>
              <w:rPr>
                <w:b/>
                <w:color w:val="FFFFFF"/>
                <w:sz w:val="20"/>
              </w:rPr>
              <w:t>Requirement</w:t>
            </w:r>
          </w:p>
        </w:tc>
        <w:tc>
          <w:tcPr>
            <w:tcW w:type="dxa" w:w="1247"/>
            <w:shd w:val="clear" w:fill="0B2545"/>
          </w:tcPr>
          <w:p>
            <w:r/>
            <w:r>
              <w:rPr>
                <w:b/>
                <w:color w:val="FFFFFF"/>
                <w:sz w:val="20"/>
              </w:rPr>
              <w:t>Priority</w:t>
            </w:r>
          </w:p>
        </w:tc>
      </w:tr>
      <w:tr>
        <w:tc>
          <w:tcPr>
            <w:tcW w:type="dxa" w:w="1020"/>
          </w:tcPr>
          <w:p>
            <w:r/>
            <w:r>
              <w:rPr>
                <w:b w:val="0"/>
                <w:sz w:val="20"/>
              </w:rPr>
              <w:t>BR-10</w:t>
            </w:r>
          </w:p>
        </w:tc>
        <w:tc>
          <w:tcPr>
            <w:tcW w:type="dxa" w:w="6803"/>
          </w:tcPr>
          <w:p>
            <w:r/>
            <w:r>
              <w:rPr>
                <w:b w:val="0"/>
                <w:sz w:val="20"/>
              </w:rPr>
              <w:t>A client must be able to see their current holdings and cash balance, correct as of their last executed trade.</w:t>
            </w:r>
          </w:p>
        </w:tc>
        <w:tc>
          <w:tcPr>
            <w:tcW w:type="dxa" w:w="1247"/>
          </w:tcPr>
          <w:p>
            <w:r/>
            <w:r>
              <w:rPr>
                <w:b w:val="0"/>
                <w:sz w:val="20"/>
              </w:rPr>
              <w:t>Must</w:t>
            </w:r>
          </w:p>
        </w:tc>
      </w:tr>
      <w:tr>
        <w:tc>
          <w:tcPr>
            <w:tcW w:type="dxa" w:w="1020"/>
          </w:tcPr>
          <w:p>
            <w:r/>
            <w:r>
              <w:rPr>
                <w:b w:val="0"/>
                <w:sz w:val="20"/>
              </w:rPr>
              <w:t>BR-11</w:t>
            </w:r>
          </w:p>
        </w:tc>
        <w:tc>
          <w:tcPr>
            <w:tcW w:type="dxa" w:w="6803"/>
          </w:tcPr>
          <w:p>
            <w:r/>
            <w:r>
              <w:rPr>
                <w:b w:val="0"/>
                <w:sz w:val="20"/>
              </w:rPr>
              <w:t>A client must be able to see a chronological history of their own orders and fills.</w:t>
            </w:r>
          </w:p>
        </w:tc>
        <w:tc>
          <w:tcPr>
            <w:tcW w:type="dxa" w:w="1247"/>
          </w:tcPr>
          <w:p>
            <w:r/>
            <w:r>
              <w:rPr>
                <w:b w:val="0"/>
                <w:sz w:val="20"/>
              </w:rPr>
              <w:t>Must</w:t>
            </w:r>
          </w:p>
        </w:tc>
      </w:tr>
    </w:tbl>
    <w:p/>
    <w:p>
      <w:pPr>
        <w:pStyle w:val="Heading2"/>
      </w:pPr>
      <w:r>
        <w:t>8.4 Market Data and Pricing</w:t>
      </w:r>
    </w:p>
    <w:tbl>
      <w:tblPr>
        <w:tblStyle w:val="TableGrid"/>
        <w:tblW w:type="auto" w:w="0"/>
        <w:jc w:val="center"/>
        <w:tblLook w:firstColumn="1" w:firstRow="1" w:lastColumn="0" w:lastRow="0" w:noHBand="0" w:noVBand="1" w:val="04A0"/>
      </w:tblPr>
      <w:tblGrid>
        <w:gridCol w:w="3249"/>
        <w:gridCol w:w="3249"/>
        <w:gridCol w:w="3249"/>
      </w:tblGrid>
      <w:tr>
        <w:tc>
          <w:tcPr>
            <w:tcW w:type="dxa" w:w="1020"/>
            <w:shd w:val="clear" w:fill="0B2545"/>
          </w:tcPr>
          <w:p>
            <w:r/>
            <w:r>
              <w:rPr>
                <w:b/>
                <w:color w:val="FFFFFF"/>
                <w:sz w:val="20"/>
              </w:rPr>
              <w:t>Ref</w:t>
            </w:r>
          </w:p>
        </w:tc>
        <w:tc>
          <w:tcPr>
            <w:tcW w:type="dxa" w:w="6803"/>
            <w:shd w:val="clear" w:fill="0B2545"/>
          </w:tcPr>
          <w:p>
            <w:r/>
            <w:r>
              <w:rPr>
                <w:b/>
                <w:color w:val="FFFFFF"/>
                <w:sz w:val="20"/>
              </w:rPr>
              <w:t>Requirement</w:t>
            </w:r>
          </w:p>
        </w:tc>
        <w:tc>
          <w:tcPr>
            <w:tcW w:type="dxa" w:w="1247"/>
            <w:shd w:val="clear" w:fill="0B2545"/>
          </w:tcPr>
          <w:p>
            <w:r/>
            <w:r>
              <w:rPr>
                <w:b/>
                <w:color w:val="FFFFFF"/>
                <w:sz w:val="20"/>
              </w:rPr>
              <w:t>Priority</w:t>
            </w:r>
          </w:p>
        </w:tc>
      </w:tr>
      <w:tr>
        <w:tc>
          <w:tcPr>
            <w:tcW w:type="dxa" w:w="1020"/>
          </w:tcPr>
          <w:p>
            <w:r/>
            <w:r>
              <w:rPr>
                <w:b w:val="0"/>
                <w:sz w:val="20"/>
              </w:rPr>
              <w:t>BR-12</w:t>
            </w:r>
          </w:p>
        </w:tc>
        <w:tc>
          <w:tcPr>
            <w:tcW w:type="dxa" w:w="6803"/>
          </w:tcPr>
          <w:p>
            <w:r/>
            <w:r>
              <w:rPr>
                <w:b w:val="0"/>
                <w:sz w:val="20"/>
              </w:rPr>
              <w:t>The platform must price orders using current market quotes across the instrument classes the firm supports at launch: equities (UK/US and Indian markets), foreign exchange, and crypto assets.</w:t>
            </w:r>
          </w:p>
        </w:tc>
        <w:tc>
          <w:tcPr>
            <w:tcW w:type="dxa" w:w="1247"/>
          </w:tcPr>
          <w:p>
            <w:r/>
            <w:r>
              <w:rPr>
                <w:b w:val="0"/>
                <w:sz w:val="20"/>
              </w:rPr>
              <w:t>Must</w:t>
            </w:r>
          </w:p>
        </w:tc>
      </w:tr>
      <w:tr>
        <w:tc>
          <w:tcPr>
            <w:tcW w:type="dxa" w:w="1020"/>
          </w:tcPr>
          <w:p>
            <w:r/>
            <w:r>
              <w:rPr>
                <w:b w:val="0"/>
                <w:sz w:val="20"/>
              </w:rPr>
              <w:t>BR-13</w:t>
            </w:r>
          </w:p>
        </w:tc>
        <w:tc>
          <w:tcPr>
            <w:tcW w:type="dxa" w:w="6803"/>
          </w:tcPr>
          <w:p>
            <w:r/>
            <w:r>
              <w:rPr>
                <w:b w:val="0"/>
                <w:sz w:val="20"/>
              </w:rPr>
              <w:t>A client should be able to see an indicative price before submitting an order, not only after it is filled.</w:t>
            </w:r>
          </w:p>
        </w:tc>
        <w:tc>
          <w:tcPr>
            <w:tcW w:type="dxa" w:w="1247"/>
          </w:tcPr>
          <w:p>
            <w:r/>
            <w:r>
              <w:rPr>
                <w:b w:val="0"/>
                <w:sz w:val="20"/>
              </w:rPr>
              <w:t>Should</w:t>
            </w:r>
          </w:p>
        </w:tc>
      </w:tr>
    </w:tbl>
    <w:p/>
    <w:p>
      <w:pPr>
        <w:pStyle w:val="Heading2"/>
      </w:pPr>
      <w:r>
        <w:t>8.5 Record-Keeping and Audit</w:t>
      </w:r>
    </w:p>
    <w:tbl>
      <w:tblPr>
        <w:tblStyle w:val="TableGrid"/>
        <w:tblW w:type="auto" w:w="0"/>
        <w:jc w:val="center"/>
        <w:tblLook w:firstColumn="1" w:firstRow="1" w:lastColumn="0" w:lastRow="0" w:noHBand="0" w:noVBand="1" w:val="04A0"/>
      </w:tblPr>
      <w:tblGrid>
        <w:gridCol w:w="3249"/>
        <w:gridCol w:w="3249"/>
        <w:gridCol w:w="3249"/>
      </w:tblGrid>
      <w:tr>
        <w:tc>
          <w:tcPr>
            <w:tcW w:type="dxa" w:w="1020"/>
            <w:shd w:val="clear" w:fill="0B2545"/>
          </w:tcPr>
          <w:p>
            <w:r/>
            <w:r>
              <w:rPr>
                <w:b/>
                <w:color w:val="FFFFFF"/>
                <w:sz w:val="20"/>
              </w:rPr>
              <w:t>Ref</w:t>
            </w:r>
          </w:p>
        </w:tc>
        <w:tc>
          <w:tcPr>
            <w:tcW w:type="dxa" w:w="6803"/>
            <w:shd w:val="clear" w:fill="0B2545"/>
          </w:tcPr>
          <w:p>
            <w:r/>
            <w:r>
              <w:rPr>
                <w:b/>
                <w:color w:val="FFFFFF"/>
                <w:sz w:val="20"/>
              </w:rPr>
              <w:t>Requirement</w:t>
            </w:r>
          </w:p>
        </w:tc>
        <w:tc>
          <w:tcPr>
            <w:tcW w:type="dxa" w:w="1247"/>
            <w:shd w:val="clear" w:fill="0B2545"/>
          </w:tcPr>
          <w:p>
            <w:r/>
            <w:r>
              <w:rPr>
                <w:b/>
                <w:color w:val="FFFFFF"/>
                <w:sz w:val="20"/>
              </w:rPr>
              <w:t>Priority</w:t>
            </w:r>
          </w:p>
        </w:tc>
      </w:tr>
      <w:tr>
        <w:tc>
          <w:tcPr>
            <w:tcW w:type="dxa" w:w="1020"/>
          </w:tcPr>
          <w:p>
            <w:r/>
            <w:r>
              <w:rPr>
                <w:b w:val="0"/>
                <w:sz w:val="20"/>
              </w:rPr>
              <w:t>BR-14</w:t>
            </w:r>
          </w:p>
        </w:tc>
        <w:tc>
          <w:tcPr>
            <w:tcW w:type="dxa" w:w="6803"/>
          </w:tcPr>
          <w:p>
            <w:r/>
            <w:r>
              <w:rPr>
                <w:b w:val="0"/>
                <w:sz w:val="20"/>
              </w:rPr>
              <w:t>Every accepted order, pricing decision and resulting change to cash or holdings must be permanently recorded and attributable to a specific client and time. This record is the firm’s legal position and must survive any system restart or failed deployment.</w:t>
            </w:r>
          </w:p>
        </w:tc>
        <w:tc>
          <w:tcPr>
            <w:tcW w:type="dxa" w:w="1247"/>
          </w:tcPr>
          <w:p>
            <w:r/>
            <w:r>
              <w:rPr>
                <w:b w:val="0"/>
                <w:sz w:val="20"/>
              </w:rPr>
              <w:t>Must</w:t>
            </w:r>
          </w:p>
        </w:tc>
      </w:tr>
      <w:tr>
        <w:tc>
          <w:tcPr>
            <w:tcW w:type="dxa" w:w="1020"/>
          </w:tcPr>
          <w:p>
            <w:r/>
            <w:r>
              <w:rPr>
                <w:b w:val="0"/>
                <w:sz w:val="20"/>
              </w:rPr>
              <w:t>BR-15</w:t>
            </w:r>
          </w:p>
        </w:tc>
        <w:tc>
          <w:tcPr>
            <w:tcW w:type="dxa" w:w="6803"/>
          </w:tcPr>
          <w:p>
            <w:r/>
            <w:r>
              <w:rPr>
                <w:b w:val="0"/>
                <w:sz w:val="20"/>
              </w:rPr>
              <w:t>For any trade, it must be possible to reconstruct its full lifecycle — when it was placed, how it was priced, what it settled as — for audit or client dispute purposes, without relying on anyone’s memory of what happened.</w:t>
            </w:r>
          </w:p>
        </w:tc>
        <w:tc>
          <w:tcPr>
            <w:tcW w:type="dxa" w:w="1247"/>
          </w:tcPr>
          <w:p>
            <w:r/>
            <w:r>
              <w:rPr>
                <w:b w:val="0"/>
                <w:sz w:val="20"/>
              </w:rPr>
              <w:t>Must</w:t>
            </w:r>
          </w:p>
        </w:tc>
      </w:tr>
    </w:tbl>
    <w:p/>
    <w:p>
      <w:pPr>
        <w:pStyle w:val="Heading2"/>
      </w:pPr>
      <w:r>
        <w:t>8.6 Reporting and Insight</w:t>
      </w:r>
    </w:p>
    <w:tbl>
      <w:tblPr>
        <w:tblStyle w:val="TableGrid"/>
        <w:tblW w:type="auto" w:w="0"/>
        <w:jc w:val="center"/>
        <w:tblLook w:firstColumn="1" w:firstRow="1" w:lastColumn="0" w:lastRow="0" w:noHBand="0" w:noVBand="1" w:val="04A0"/>
      </w:tblPr>
      <w:tblGrid>
        <w:gridCol w:w="3249"/>
        <w:gridCol w:w="3249"/>
        <w:gridCol w:w="3249"/>
      </w:tblGrid>
      <w:tr>
        <w:tc>
          <w:tcPr>
            <w:tcW w:type="dxa" w:w="1020"/>
            <w:shd w:val="clear" w:fill="0B2545"/>
          </w:tcPr>
          <w:p>
            <w:r/>
            <w:r>
              <w:rPr>
                <w:b/>
                <w:color w:val="FFFFFF"/>
                <w:sz w:val="20"/>
              </w:rPr>
              <w:t>Ref</w:t>
            </w:r>
          </w:p>
        </w:tc>
        <w:tc>
          <w:tcPr>
            <w:tcW w:type="dxa" w:w="6803"/>
            <w:shd w:val="clear" w:fill="0B2545"/>
          </w:tcPr>
          <w:p>
            <w:r/>
            <w:r>
              <w:rPr>
                <w:b/>
                <w:color w:val="FFFFFF"/>
                <w:sz w:val="20"/>
              </w:rPr>
              <w:t>Requirement</w:t>
            </w:r>
          </w:p>
        </w:tc>
        <w:tc>
          <w:tcPr>
            <w:tcW w:type="dxa" w:w="1247"/>
            <w:shd w:val="clear" w:fill="0B2545"/>
          </w:tcPr>
          <w:p>
            <w:r/>
            <w:r>
              <w:rPr>
                <w:b/>
                <w:color w:val="FFFFFF"/>
                <w:sz w:val="20"/>
              </w:rPr>
              <w:t>Priority</w:t>
            </w:r>
          </w:p>
        </w:tc>
      </w:tr>
      <w:tr>
        <w:tc>
          <w:tcPr>
            <w:tcW w:type="dxa" w:w="1020"/>
          </w:tcPr>
          <w:p>
            <w:r/>
            <w:r>
              <w:rPr>
                <w:b w:val="0"/>
                <w:sz w:val="20"/>
              </w:rPr>
              <w:t>BR-16</w:t>
            </w:r>
          </w:p>
        </w:tc>
        <w:tc>
          <w:tcPr>
            <w:tcW w:type="dxa" w:w="6803"/>
          </w:tcPr>
          <w:p>
            <w:r/>
            <w:r>
              <w:rPr>
                <w:b w:val="0"/>
                <w:sz w:val="20"/>
              </w:rPr>
              <w:t>The business must be able to analyse trading activity over time — by instrument, by period, by client segment — without that analysis slowing down or competing with live client trading.</w:t>
            </w:r>
          </w:p>
        </w:tc>
        <w:tc>
          <w:tcPr>
            <w:tcW w:type="dxa" w:w="1247"/>
          </w:tcPr>
          <w:p>
            <w:r/>
            <w:r>
              <w:rPr>
                <w:b w:val="0"/>
                <w:sz w:val="20"/>
              </w:rPr>
              <w:t>Must</w:t>
            </w:r>
          </w:p>
        </w:tc>
      </w:tr>
      <w:tr>
        <w:tc>
          <w:tcPr>
            <w:tcW w:type="dxa" w:w="1020"/>
          </w:tcPr>
          <w:p>
            <w:r/>
            <w:r>
              <w:rPr>
                <w:b w:val="0"/>
                <w:sz w:val="20"/>
              </w:rPr>
              <w:t>BR-17</w:t>
            </w:r>
          </w:p>
        </w:tc>
        <w:tc>
          <w:tcPr>
            <w:tcW w:type="dxa" w:w="6803"/>
          </w:tcPr>
          <w:p>
            <w:r/>
            <w:r>
              <w:rPr>
                <w:b w:val="0"/>
                <w:sz w:val="20"/>
              </w:rPr>
              <w:t>The platform should surface a small set of business insights (for example, trading volumes, most active instruments, client activity trends) to internal stakeholders.</w:t>
            </w:r>
          </w:p>
        </w:tc>
        <w:tc>
          <w:tcPr>
            <w:tcW w:type="dxa" w:w="1247"/>
          </w:tcPr>
          <w:p>
            <w:r/>
            <w:r>
              <w:rPr>
                <w:b w:val="0"/>
                <w:sz w:val="20"/>
              </w:rPr>
              <w:t>Should</w:t>
            </w:r>
          </w:p>
        </w:tc>
      </w:tr>
    </w:tbl>
    <w:p/>
    <w:p>
      <w:pPr>
        <w:pStyle w:val="Heading2"/>
      </w:pPr>
      <w:r>
        <w:t>8.7 Platform Differentiation</w:t>
      </w:r>
    </w:p>
    <w:tbl>
      <w:tblPr>
        <w:tblStyle w:val="TableGrid"/>
        <w:tblW w:type="auto" w:w="0"/>
        <w:jc w:val="center"/>
        <w:tblLook w:firstColumn="1" w:firstRow="1" w:lastColumn="0" w:lastRow="0" w:noHBand="0" w:noVBand="1" w:val="04A0"/>
      </w:tblPr>
      <w:tblGrid>
        <w:gridCol w:w="3249"/>
        <w:gridCol w:w="3249"/>
        <w:gridCol w:w="3249"/>
      </w:tblGrid>
      <w:tr>
        <w:tc>
          <w:tcPr>
            <w:tcW w:type="dxa" w:w="1020"/>
            <w:shd w:val="clear" w:fill="0B2545"/>
          </w:tcPr>
          <w:p>
            <w:r/>
            <w:r>
              <w:rPr>
                <w:b/>
                <w:color w:val="FFFFFF"/>
                <w:sz w:val="20"/>
              </w:rPr>
              <w:t>Ref</w:t>
            </w:r>
          </w:p>
        </w:tc>
        <w:tc>
          <w:tcPr>
            <w:tcW w:type="dxa" w:w="6803"/>
            <w:shd w:val="clear" w:fill="0B2545"/>
          </w:tcPr>
          <w:p>
            <w:r/>
            <w:r>
              <w:rPr>
                <w:b/>
                <w:color w:val="FFFFFF"/>
                <w:sz w:val="20"/>
              </w:rPr>
              <w:t>Requirement</w:t>
            </w:r>
          </w:p>
        </w:tc>
        <w:tc>
          <w:tcPr>
            <w:tcW w:type="dxa" w:w="1247"/>
            <w:shd w:val="clear" w:fill="0B2545"/>
          </w:tcPr>
          <w:p>
            <w:r/>
            <w:r>
              <w:rPr>
                <w:b/>
                <w:color w:val="FFFFFF"/>
                <w:sz w:val="20"/>
              </w:rPr>
              <w:t>Priority</w:t>
            </w:r>
          </w:p>
        </w:tc>
      </w:tr>
      <w:tr>
        <w:tc>
          <w:tcPr>
            <w:tcW w:type="dxa" w:w="1020"/>
          </w:tcPr>
          <w:p>
            <w:r/>
            <w:r>
              <w:rPr>
                <w:b w:val="0"/>
                <w:sz w:val="20"/>
              </w:rPr>
              <w:t>BR-18</w:t>
            </w:r>
          </w:p>
        </w:tc>
        <w:tc>
          <w:tcPr>
            <w:tcW w:type="dxa" w:w="6803"/>
          </w:tcPr>
          <w:p>
            <w:r/>
            <w:r>
              <w:rPr>
                <w:b w:val="0"/>
                <w:sz w:val="20"/>
              </w:rPr>
              <w:t>The delivery team should identify and build one additional capability that extends the platform’s value to clients or to the business, with a stated justification for why it was chosen over other options.</w:t>
            </w:r>
          </w:p>
        </w:tc>
        <w:tc>
          <w:tcPr>
            <w:tcW w:type="dxa" w:w="1247"/>
          </w:tcPr>
          <w:p>
            <w:r/>
            <w:r>
              <w:rPr>
                <w:b w:val="0"/>
                <w:sz w:val="20"/>
              </w:rPr>
              <w:t>Should</w:t>
            </w:r>
          </w:p>
        </w:tc>
      </w:tr>
    </w:tbl>
    <w:p/>
    <w:p>
      <w:pPr>
        <w:pStyle w:val="Heading1"/>
      </w:pPr>
      <w:r>
        <w:t>9. Service Expectations</w:t>
      </w:r>
    </w:p>
    <w:p>
      <w:r>
        <w:t>Beyond individual features, the platform is expected to meet the following standards of service. These apply across the whole platform rather than to any single requirement above.</w:t>
      </w:r>
    </w:p>
    <w:p>
      <w:pPr>
        <w:pStyle w:val="Heading2"/>
      </w:pPr>
      <w:r>
        <w:t>9.1 Trust and Continuity</w:t>
      </w:r>
    </w:p>
    <w:p>
      <w:r>
        <w:t>A client’s displayed balance must always be correct, including immediately after a restart, a failed deployment, or any partial failure elsewhere in the platform. No trade record may be lost or duplicated under any failure condition. The platform should remain available throughout the trading hours of the markets it covers.</w:t>
      </w:r>
    </w:p>
    <w:p>
      <w:pPr>
        <w:pStyle w:val="Heading2"/>
      </w:pPr>
      <w:r>
        <w:t>9.2 Responsiveness</w:t>
      </w:r>
    </w:p>
    <w:p>
      <w:r>
        <w:t>A client’s order confirmation, and any change to their positions or blotter, should feel close to immediate. A client should never wonder whether their action has been registered.</w:t>
      </w:r>
    </w:p>
    <w:p>
      <w:pPr>
        <w:pStyle w:val="Heading2"/>
      </w:pPr>
      <w:r>
        <w:t>9.3 Security and Confidentiality</w:t>
      </w:r>
    </w:p>
    <w:p>
      <w:r>
        <w:t>Client credentials and financial data must be protected to a standard consistent with handling personal financial information. No client’s data may be visible to another client, and internal access to client data should be limited to what a role genuinely requires.</w:t>
      </w:r>
    </w:p>
    <w:p>
      <w:pPr>
        <w:pStyle w:val="Heading2"/>
      </w:pPr>
      <w:r>
        <w:t>9.4 Data Retention and Regulatory Alignment</w:t>
      </w:r>
    </w:p>
    <w:p>
      <w:r>
        <w:t>Trade records must be retained and must not be alterable after the fact. The platform should be designed on the assumption that its trade records may be inspected by Risk, Compliance or a regulator at any time, without notice.</w:t>
      </w:r>
    </w:p>
    <w:p>
      <w:pPr>
        <w:pStyle w:val="Heading2"/>
      </w:pPr>
      <w:r>
        <w:t>9.5 Usability</w:t>
      </w:r>
    </w:p>
    <w:p>
      <w:r>
        <w:t>The platform is for Joanna, not for a trading professional. A first-time client should be able to place an order and understand its outcome without training or a user guide.</w:t>
      </w:r>
    </w:p>
    <w:p>
      <w:pPr>
        <w:pStyle w:val="Heading1"/>
      </w:pPr>
      <w:r>
        <w:t>10. Assumptions and Constraints</w:t>
      </w:r>
    </w:p>
    <w:p>
      <w:pPr>
        <w:pStyle w:val="ListBullet"/>
      </w:pPr>
      <w:r>
        <w:t>The firm expects delivery in incremental phases, with early phases proving the core mechanics of the platform before later phases add breadth.</w:t>
      </w:r>
    </w:p>
    <w:p>
      <w:pPr>
        <w:pStyle w:val="ListBullet"/>
      </w:pPr>
      <w:r>
        <w:t>This specification does not prescribe technology or architecture. The delivery partner selects and justifies its own approach.</w:t>
      </w:r>
    </w:p>
    <w:p>
      <w:pPr>
        <w:pStyle w:val="ListBullet"/>
      </w:pPr>
      <w:r>
        <w:t>A representative sign-in fixture will be made available so that delivery is not blocked waiting on a production identity solution.</w:t>
      </w:r>
    </w:p>
    <w:p>
      <w:pPr>
        <w:pStyle w:val="ListBullet"/>
      </w:pPr>
      <w:r>
        <w:t>The Programme Sponsor and stakeholders are available at defined checkpoints to review progress and direction.</w:t>
      </w:r>
    </w:p>
    <w:p>
      <w:pPr>
        <w:pStyle w:val="ListBullet"/>
      </w:pPr>
      <w:r>
        <w:t>Budget and the full regulatory scope are addressed outside this document. The delivery partner should flag explicitly where it needs more detail than this specification provides.</w:t>
      </w:r>
    </w:p>
    <w:p>
      <w:pPr>
        <w:pStyle w:val="Heading1"/>
      </w:pPr>
      <w:r>
        <w:t>11. Success Criteria</w:t>
      </w:r>
    </w:p>
    <w:p>
      <w:pPr>
        <w:pStyle w:val="ListBullet"/>
      </w:pPr>
      <w:r>
        <w:t>A client can register, sign in, place an order and see it reflected in their holdings and blotter end to end.</w:t>
      </w:r>
    </w:p>
    <w:p>
      <w:pPr>
        <w:pStyle w:val="ListBullet"/>
      </w:pPr>
      <w:r>
        <w:t>Every trade can be traced from order to outcome without reconstruction work.</w:t>
      </w:r>
    </w:p>
    <w:p>
      <w:pPr>
        <w:pStyle w:val="ListBullet"/>
      </w:pPr>
      <w:r>
        <w:t>Internal stakeholders can view reporting on trading activity independent of the live trading path.</w:t>
      </w:r>
    </w:p>
    <w:p>
      <w:pPr>
        <w:pStyle w:val="ListBullet"/>
      </w:pPr>
      <w:r>
        <w:t>The Programme Sponsor can explain, in business terms, why the delivered architecture meets Sections 8 and 9 of this specification.</w:t>
      </w:r>
    </w:p>
    <w:p>
      <w:pPr>
        <w:pStyle w:val="Heading1"/>
      </w:pPr>
      <w:r>
        <w:t>12. Next Steps — Required From Delivery Partners</w:t>
      </w:r>
    </w:p>
    <w:p>
      <w:r>
        <w:t>Before detailed delivery begins, each delivery partner team is asked to submit an outline proposal in response to this specification, covering:</w:t>
      </w:r>
    </w:p>
    <w:p>
      <w:pPr>
        <w:pStyle w:val="ListNumber"/>
      </w:pPr>
      <w:r>
        <w:t>1. A candidate architecture, including the technologies you would use and the reasoning behind them.</w:t>
      </w:r>
    </w:p>
    <w:p>
      <w:pPr>
        <w:pStyle w:val="ListNumber"/>
      </w:pPr>
      <w:r>
        <w:t>2. An initial delivery plan showing how you would sequence the work.</w:t>
      </w:r>
    </w:p>
    <w:p>
      <w:pPr>
        <w:pStyle w:val="ListNumber"/>
      </w:pPr>
      <w:r>
        <w:t>3. The risks you foresee in delivering this platform, and how you would look to manage them.</w:t>
      </w:r>
    </w:p>
    <w:p>
      <w:r>
        <w:t>This proposal should be prepared for, and presented to, the Programme Sponsor and stakeholders.</w:t>
      </w:r>
    </w:p>
    <w:p>
      <w:pPr>
        <w:pStyle w:val="Heading1"/>
      </w:pPr>
      <w:r>
        <w:t>13. Glossary</w:t>
      </w:r>
    </w:p>
    <w:tbl>
      <w:tblPr>
        <w:tblStyle w:val="TableGrid"/>
        <w:tblW w:type="auto" w:w="0"/>
        <w:tblLook w:firstColumn="1" w:firstRow="1" w:lastColumn="0" w:lastRow="0" w:noHBand="0" w:noVBand="1" w:val="04A0"/>
      </w:tblPr>
      <w:tblGrid>
        <w:gridCol w:w="4873"/>
        <w:gridCol w:w="4873"/>
      </w:tblGrid>
      <w:tr>
        <w:tc>
          <w:tcPr>
            <w:tcW w:type="dxa" w:w="4873"/>
            <w:shd w:val="clear" w:fill="0B2545"/>
          </w:tcPr>
          <w:p>
            <w:r/>
            <w:r>
              <w:rPr>
                <w:b/>
                <w:color w:val="FFFFFF"/>
                <w:sz w:val="20"/>
              </w:rPr>
              <w:t>Term</w:t>
            </w:r>
          </w:p>
        </w:tc>
        <w:tc>
          <w:tcPr>
            <w:tcW w:type="dxa" w:w="4873"/>
            <w:shd w:val="clear" w:fill="0B2545"/>
          </w:tcPr>
          <w:p>
            <w:r/>
            <w:r>
              <w:rPr>
                <w:b/>
                <w:color w:val="FFFFFF"/>
                <w:sz w:val="20"/>
              </w:rPr>
              <w:t>Definition</w:t>
            </w:r>
          </w:p>
        </w:tc>
      </w:tr>
      <w:tr>
        <w:tc>
          <w:tcPr>
            <w:tcW w:type="dxa" w:w="4873"/>
          </w:tcPr>
          <w:p>
            <w:r/>
            <w:r>
              <w:rPr>
                <w:b/>
                <w:sz w:val="20"/>
              </w:rPr>
              <w:t>Order</w:t>
            </w:r>
          </w:p>
        </w:tc>
        <w:tc>
          <w:tcPr>
            <w:tcW w:type="dxa" w:w="4873"/>
          </w:tcPr>
          <w:p>
            <w:r/>
            <w:r>
              <w:rPr>
                <w:b w:val="0"/>
                <w:sz w:val="20"/>
              </w:rPr>
              <w:t>A client’s instruction to buy or sell a specific quantity of an instrument.</w:t>
            </w:r>
          </w:p>
        </w:tc>
      </w:tr>
      <w:tr>
        <w:tc>
          <w:tcPr>
            <w:tcW w:type="dxa" w:w="4873"/>
          </w:tcPr>
          <w:p>
            <w:r/>
            <w:r>
              <w:rPr>
                <w:b/>
                <w:sz w:val="20"/>
              </w:rPr>
              <w:t>Fill</w:t>
            </w:r>
          </w:p>
        </w:tc>
        <w:tc>
          <w:tcPr>
            <w:tcW w:type="dxa" w:w="4873"/>
          </w:tcPr>
          <w:p>
            <w:r/>
            <w:r>
              <w:rPr>
                <w:b w:val="0"/>
                <w:sz w:val="20"/>
              </w:rPr>
              <w:t>The outcome of an order being executed at a price, resulting in a change to holdings and cash.</w:t>
            </w:r>
          </w:p>
        </w:tc>
      </w:tr>
      <w:tr>
        <w:tc>
          <w:tcPr>
            <w:tcW w:type="dxa" w:w="4873"/>
          </w:tcPr>
          <w:p>
            <w:r/>
            <w:r>
              <w:rPr>
                <w:b/>
                <w:sz w:val="20"/>
              </w:rPr>
              <w:t>Position</w:t>
            </w:r>
          </w:p>
        </w:tc>
        <w:tc>
          <w:tcPr>
            <w:tcW w:type="dxa" w:w="4873"/>
          </w:tcPr>
          <w:p>
            <w:r/>
            <w:r>
              <w:rPr>
                <w:b w:val="0"/>
                <w:sz w:val="20"/>
              </w:rPr>
              <w:t>A client’s current holding in a given instrument.</w:t>
            </w:r>
          </w:p>
        </w:tc>
      </w:tr>
      <w:tr>
        <w:tc>
          <w:tcPr>
            <w:tcW w:type="dxa" w:w="4873"/>
          </w:tcPr>
          <w:p>
            <w:r/>
            <w:r>
              <w:rPr>
                <w:b/>
                <w:sz w:val="20"/>
              </w:rPr>
              <w:t>Blotter</w:t>
            </w:r>
          </w:p>
        </w:tc>
        <w:tc>
          <w:tcPr>
            <w:tcW w:type="dxa" w:w="4873"/>
          </w:tcPr>
          <w:p>
            <w:r/>
            <w:r>
              <w:rPr>
                <w:b w:val="0"/>
                <w:sz w:val="20"/>
              </w:rPr>
              <w:t>A chronological view of a client’s orders and their outcomes.</w:t>
            </w:r>
          </w:p>
        </w:tc>
      </w:tr>
      <w:tr>
        <w:tc>
          <w:tcPr>
            <w:tcW w:type="dxa" w:w="4873"/>
          </w:tcPr>
          <w:p>
            <w:r/>
            <w:r>
              <w:rPr>
                <w:b/>
                <w:sz w:val="20"/>
              </w:rPr>
              <w:t>Quote</w:t>
            </w:r>
          </w:p>
        </w:tc>
        <w:tc>
          <w:tcPr>
            <w:tcW w:type="dxa" w:w="4873"/>
          </w:tcPr>
          <w:p>
            <w:r/>
            <w:r>
              <w:rPr>
                <w:b w:val="0"/>
                <w:sz w:val="20"/>
              </w:rPr>
              <w:t>The current price at which an instrument can be bought or sold.</w:t>
            </w:r>
          </w:p>
        </w:tc>
      </w:tr>
      <w:tr>
        <w:tc>
          <w:tcPr>
            <w:tcW w:type="dxa" w:w="4873"/>
          </w:tcPr>
          <w:p>
            <w:r/>
            <w:r>
              <w:rPr>
                <w:b/>
                <w:sz w:val="20"/>
              </w:rPr>
              <w:t>Instrument</w:t>
            </w:r>
          </w:p>
        </w:tc>
        <w:tc>
          <w:tcPr>
            <w:tcW w:type="dxa" w:w="4873"/>
          </w:tcPr>
          <w:p>
            <w:r/>
            <w:r>
              <w:rPr>
                <w:b w:val="0"/>
                <w:sz w:val="20"/>
              </w:rPr>
              <w:t>A tradable asset — an equity, a foreign exchange pair, or a crypto asset.</w:t>
            </w:r>
          </w:p>
        </w:tc>
      </w:tr>
      <w:tr>
        <w:tc>
          <w:tcPr>
            <w:tcW w:type="dxa" w:w="4873"/>
          </w:tcPr>
          <w:p>
            <w:r/>
            <w:r>
              <w:rPr>
                <w:b/>
                <w:sz w:val="20"/>
              </w:rPr>
              <w:t>Audit trail</w:t>
            </w:r>
          </w:p>
        </w:tc>
        <w:tc>
          <w:tcPr>
            <w:tcW w:type="dxa" w:w="4873"/>
          </w:tcPr>
          <w:p>
            <w:r/>
            <w:r>
              <w:rPr>
                <w:b w:val="0"/>
                <w:sz w:val="20"/>
              </w:rPr>
              <w:t>The permanent record of what happened to an order, from submission to outcome.</w:t>
            </w:r>
          </w:p>
        </w:tc>
      </w:tr>
    </w:tbl>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LEAP-BRS-2026-014  |  Version 0.9  –  Draft for Delivery Partner Response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LEAP Project  |  Confidential  –  Delivery Partner Distribution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54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54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15C56CCA5A1C94AB07F13D7F09C17CA" ma:contentTypeVersion="29" ma:contentTypeDescription="Create a new document." ma:contentTypeScope="" ma:versionID="9e9d54540c69355e1d05c5aabc61c47c">
  <xsd:schema xmlns:xsd="http://www.w3.org/2001/XMLSchema" xmlns:xs="http://www.w3.org/2001/XMLSchema" xmlns:p="http://schemas.microsoft.com/office/2006/metadata/properties" xmlns:ns1="http://schemas.microsoft.com/sharepoint/v3" xmlns:ns2="2c08f754-a9ea-4773-b604-7244bf3e6a7b" xmlns:ns3="d905f990-1265-453a-8377-6052b5295bf7" targetNamespace="http://schemas.microsoft.com/office/2006/metadata/properties" ma:root="true" ma:fieldsID="d83f8a048dd320245a0f904807145956" ns1:_="" ns2:_="" ns3:_="">
    <xsd:import namespace="http://schemas.microsoft.com/sharepoint/v3"/>
    <xsd:import namespace="2c08f754-a9ea-4773-b604-7244bf3e6a7b"/>
    <xsd:import namespace="d905f990-1265-453a-8377-6052b5295bf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DefaultOrder" minOccurs="0"/>
                <xsd:element ref="ns3:SharedWithUsers" minOccurs="0"/>
                <xsd:element ref="ns3:SharedWithDetails" minOccurs="0"/>
                <xsd:element ref="ns2:MediaServiceSearchProperties" minOccurs="0"/>
                <xsd:element ref="ns2:MediaServiceLocation" minOccurs="0"/>
                <xsd:element ref="ns2:Addtowebsite" minOccurs="0"/>
                <xsd:element ref="ns2:MediaServiceObjectDetectorVersions" minOccurs="0"/>
                <xsd:element ref="ns2:MediaServiceBillingMetadata" minOccurs="0"/>
                <xsd:element ref="ns2:Test" minOccurs="0"/>
                <xsd:element ref="ns2:Topic" minOccurs="0"/>
                <xsd:element ref="ns2:SubTopic" minOccurs="0"/>
                <xsd:element ref="ns1:_ip_UnifiedCompliancePolicyProperties" minOccurs="0"/>
                <xsd:element ref="ns1:_ip_UnifiedCompliancePolicyUIAction" minOccurs="0"/>
                <xsd:element ref="ns2:Hyper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8f754-a9ea-4773-b604-7244bf3e6a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3482690-7c15-4db0-a421-5a175f9ff9ec" ma:termSetId="09814cd3-568e-fe90-9814-8d621ff8fb84" ma:anchorId="fba54fb3-c3e1-fe81-a776-ca4b69148c4d" ma:open="true" ma:isKeyword="false">
      <xsd:complexType>
        <xsd:sequence>
          <xsd:element ref="pc:Terms" minOccurs="0" maxOccurs="1"/>
        </xsd:sequence>
      </xsd:complexType>
    </xsd:element>
    <xsd:element name="DefaultOrder" ma:index="20" nillable="true" ma:displayName="DefaultOrder" ma:default="0" ma:description="Integer to order folders" ma:format="Dropdown" ma:internalName="DefaultOrder" ma:percentage="FALSE">
      <xsd:simpleType>
        <xsd:restriction base="dms:Number">
          <xsd:minInclusive value="0"/>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description="" ma:indexed="true" ma:internalName="MediaServiceLocation" ma:readOnly="true">
      <xsd:simpleType>
        <xsd:restriction base="dms:Text"/>
      </xsd:simpleType>
    </xsd:element>
    <xsd:element name="Addtowebsite" ma:index="25" nillable="true" ma:displayName="Add to website " ma:format="Dropdown" ma:internalName="Addtowebsite">
      <xsd:simpleType>
        <xsd:restriction base="dms:Choice">
          <xsd:enumeration value="Yes"/>
          <xsd:enumeration value="No"/>
          <xsd:enumeration value="Choice 3"/>
        </xsd:restrictio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Test" ma:index="28" nillable="true" ma:displayName="Test" ma:format="Dropdown" ma:list="UserInfo" ma:SharePointGroup="0" ma:internalName="Tes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opic" ma:index="29" nillable="true" ma:displayName="Topic" ma:format="Dropdown" ma:list="229e7ed0-77e4-418a-876e-dff4abf19a80" ma:internalName="Topic" ma:readOnly="false" ma:showField="Title">
      <xsd:complexType>
        <xsd:complexContent>
          <xsd:extension base="dms:MultiChoiceLookup">
            <xsd:sequence>
              <xsd:element name="Value" type="dms:Lookup" maxOccurs="unbounded" minOccurs="0" nillable="true"/>
            </xsd:sequence>
          </xsd:extension>
        </xsd:complexContent>
      </xsd:complexType>
    </xsd:element>
    <xsd:element name="SubTopic" ma:index="30" nillable="true" ma:displayName="Sub Topic " ma:format="Dropdown" ma:list="4bf8ae56-1bb5-410a-9041-f4d21fb0436c" ma:internalName="SubTopic" ma:showField="Title">
      <xsd:simpleType>
        <xsd:restriction base="dms:Lookup"/>
      </xsd:simpleType>
    </xsd:element>
    <xsd:element name="Hyperlink" ma:index="33"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905f990-1265-453a-8377-6052b5295bf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6a696fa-5d9f-492f-b5c6-7d28dca96e11}" ma:internalName="TaxCatchAll" ma:showField="CatchAllData" ma:web="d905f990-1265-453a-8377-6052b5295bf7">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Addtowebsite xmlns="2c08f754-a9ea-4773-b604-7244bf3e6a7b" xsi:nil="true"/>
    <Hyperlink xmlns="2c08f754-a9ea-4773-b604-7244bf3e6a7b">
      <Url xsi:nil="true"/>
      <Description xsi:nil="true"/>
    </Hyperlink>
    <_ip_UnifiedCompliancePolicyUIAction xmlns="http://schemas.microsoft.com/sharepoint/v3" xsi:nil="true"/>
    <Topic xmlns="2c08f754-a9ea-4773-b604-7244bf3e6a7b" xsi:nil="true"/>
    <SubTopic xmlns="2c08f754-a9ea-4773-b604-7244bf3e6a7b" xsi:nil="true"/>
    <TaxCatchAll xmlns="d905f990-1265-453a-8377-6052b5295bf7" xsi:nil="true"/>
    <_ip_UnifiedCompliancePolicyProperties xmlns="http://schemas.microsoft.com/sharepoint/v3" xsi:nil="true"/>
    <lcf76f155ced4ddcb4097134ff3c332f xmlns="2c08f754-a9ea-4773-b604-7244bf3e6a7b">
      <Terms xmlns="http://schemas.microsoft.com/office/infopath/2007/PartnerControls"/>
    </lcf76f155ced4ddcb4097134ff3c332f>
    <Test xmlns="2c08f754-a9ea-4773-b604-7244bf3e6a7b">
      <UserInfo>
        <DisplayName/>
        <AccountId xsi:nil="true"/>
        <AccountType/>
      </UserInfo>
    </Test>
    <DefaultOrder xmlns="2c08f754-a9ea-4773-b604-7244bf3e6a7b">0</DefaultOrder>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7EA9688-4050-4CB8-B119-EEE57DB09832}"/>
</file>

<file path=customXml/itemProps3.xml><?xml version="1.0" encoding="utf-8"?>
<ds:datastoreItem xmlns:ds="http://schemas.openxmlformats.org/officeDocument/2006/customXml" ds:itemID="{E5767A07-7E6D-4DB9-B5E7-EFE8997D9216}"/>
</file>

<file path=customXml/itemProps4.xml><?xml version="1.0" encoding="utf-8"?>
<ds:datastoreItem xmlns:ds="http://schemas.openxmlformats.org/officeDocument/2006/customXml" ds:itemID="{1D0306AE-D6F6-409E-A70B-4039121993F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0x010100015C56CCA5A1C94AB07F13D7F09C17CA</vt:lpwstr>
  </property>
</Properties>
</file>