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D92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rPr>
          <w:rFonts w:hint="eastAsia" w:ascii="方正小标宋简体" w:hAnsi="等线" w:eastAsia="方正小标宋简体" w:cs="Times New Roman"/>
          <w:sz w:val="44"/>
          <w:szCs w:val="4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附件2  </w:t>
      </w:r>
      <w:r>
        <w:rPr>
          <w:rFonts w:hint="eastAsia" w:ascii="黑体" w:hAnsi="黑体" w:eastAsia="黑体" w:cs="黑体"/>
          <w:b w:val="0"/>
          <w:bCs w:val="0"/>
          <w:szCs w:val="22"/>
          <w:lang w:val="en-US" w:eastAsia="zh-CN"/>
        </w:rPr>
        <w:t xml:space="preserve">          </w:t>
      </w:r>
      <w:r>
        <w:rPr>
          <w:rFonts w:hint="eastAsia" w:ascii="方正小标宋简体" w:hAnsi="等线" w:eastAsia="方正小标宋简体" w:cs="Times New Roman"/>
          <w:sz w:val="44"/>
          <w:szCs w:val="44"/>
        </w:rPr>
        <w:t>公 开 招 聘 报 名 表</w:t>
      </w:r>
    </w:p>
    <w:p w14:paraId="73E0B1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textAlignment w:val="auto"/>
        <w:rPr>
          <w:rFonts w:hint="eastAsia" w:ascii="黑体" w:hAnsi="等线" w:eastAsia="黑体" w:cs="Times New Roman"/>
          <w:b/>
          <w:szCs w:val="32"/>
        </w:rPr>
      </w:pPr>
      <w:r>
        <w:rPr>
          <w:rFonts w:hint="eastAsia" w:ascii="仿宋_GB2312" w:hAnsi="等线" w:eastAsia="等线" w:cs="Times New Roman"/>
          <w:b/>
          <w:szCs w:val="32"/>
        </w:rPr>
        <w:t xml:space="preserve">应聘岗位：                    </w:t>
      </w:r>
      <w:r>
        <w:rPr>
          <w:rFonts w:hint="eastAsia" w:ascii="仿宋_GB2312" w:hAnsi="等线" w:eastAsia="等线" w:cs="Times New Roman"/>
          <w:b/>
          <w:spacing w:val="-8"/>
          <w:szCs w:val="32"/>
        </w:rPr>
        <w:t xml:space="preserve">   </w:t>
      </w:r>
      <w:r>
        <w:rPr>
          <w:rFonts w:hint="eastAsia" w:ascii="仿宋_GB2312" w:hAnsi="等线" w:eastAsia="等线" w:cs="Times New Roman"/>
          <w:b/>
          <w:szCs w:val="32"/>
        </w:rPr>
        <w:t xml:space="preserve">         </w:t>
      </w:r>
    </w:p>
    <w:tbl>
      <w:tblPr>
        <w:tblStyle w:val="2"/>
        <w:tblW w:w="8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883"/>
        <w:gridCol w:w="1253"/>
        <w:gridCol w:w="1433"/>
        <w:gridCol w:w="1425"/>
        <w:gridCol w:w="1282"/>
        <w:gridCol w:w="1621"/>
      </w:tblGrid>
      <w:tr w14:paraId="2355F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2" w:hRule="atLeast"/>
          <w:jc w:val="center"/>
        </w:trPr>
        <w:tc>
          <w:tcPr>
            <w:tcW w:w="1028" w:type="dxa"/>
            <w:vAlign w:val="center"/>
          </w:tcPr>
          <w:p w14:paraId="16562AF2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姓  名</w:t>
            </w:r>
          </w:p>
        </w:tc>
        <w:tc>
          <w:tcPr>
            <w:tcW w:w="883" w:type="dxa"/>
            <w:vAlign w:val="center"/>
          </w:tcPr>
          <w:p w14:paraId="09B27503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仿宋_GB2312" w:hAnsi="等线" w:eastAsia="等线" w:cs="Times New Roman"/>
                <w:sz w:val="22"/>
                <w:szCs w:val="21"/>
                <w:lang w:val="en-US" w:eastAsia="zh-CN"/>
              </w:rPr>
              <w:t>魏旻瀚</w:t>
            </w:r>
          </w:p>
        </w:tc>
        <w:tc>
          <w:tcPr>
            <w:tcW w:w="1253" w:type="dxa"/>
            <w:vAlign w:val="center"/>
          </w:tcPr>
          <w:p w14:paraId="1B4927F8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性  别</w:t>
            </w:r>
          </w:p>
        </w:tc>
        <w:tc>
          <w:tcPr>
            <w:tcW w:w="1433" w:type="dxa"/>
            <w:vAlign w:val="center"/>
          </w:tcPr>
          <w:p w14:paraId="66C910F9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  <w:t>男</w:t>
            </w:r>
          </w:p>
        </w:tc>
        <w:tc>
          <w:tcPr>
            <w:tcW w:w="1425" w:type="dxa"/>
            <w:vAlign w:val="center"/>
          </w:tcPr>
          <w:p w14:paraId="7B723196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出生年月</w:t>
            </w:r>
          </w:p>
        </w:tc>
        <w:tc>
          <w:tcPr>
            <w:tcW w:w="1282" w:type="dxa"/>
            <w:vAlign w:val="center"/>
          </w:tcPr>
          <w:p w14:paraId="181CE4CC">
            <w:pPr>
              <w:adjustRightInd w:val="0"/>
              <w:snapToGrid w:val="0"/>
              <w:spacing w:line="100" w:lineRule="atLeast"/>
              <w:jc w:val="center"/>
              <w:rPr>
                <w:rFonts w:hint="default" w:ascii="仿宋_GB2312" w:hAnsi="等线" w:eastAsia="等线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仿宋_GB2312" w:hAnsi="等线" w:eastAsia="等线" w:cs="Times New Roman"/>
                <w:sz w:val="21"/>
                <w:szCs w:val="20"/>
                <w:lang w:val="en-US" w:eastAsia="zh-CN"/>
              </w:rPr>
              <w:t>1994.01.07</w:t>
            </w:r>
          </w:p>
        </w:tc>
        <w:tc>
          <w:tcPr>
            <w:tcW w:w="1621" w:type="dxa"/>
            <w:vMerge w:val="restart"/>
            <w:shd w:val="clear" w:color="auto" w:fill="auto"/>
            <w:vAlign w:val="center"/>
          </w:tcPr>
          <w:p w14:paraId="78F568B9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Cs w:val="21"/>
                <w:u w:val="single"/>
                <w:lang w:eastAsia="zh-CN"/>
              </w:rPr>
            </w:pPr>
            <w:r>
              <w:rPr>
                <w:rFonts w:hint="eastAsia" w:ascii="仿宋_GB2312" w:hAnsi="等线" w:eastAsia="等线" w:cs="Times New Roman"/>
                <w:szCs w:val="21"/>
                <w:u w:val="single"/>
                <w:lang w:eastAsia="zh-CN"/>
              </w:rPr>
              <w:drawing>
                <wp:inline distT="0" distB="0" distL="114300" distR="114300">
                  <wp:extent cx="891540" cy="1248410"/>
                  <wp:effectExtent l="0" t="0" r="10160" b="8890"/>
                  <wp:docPr id="1" name="图片 1" descr="魏旻瀚-1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魏旻瀚-1寸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124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A324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2" w:hRule="atLeast"/>
          <w:jc w:val="center"/>
        </w:trPr>
        <w:tc>
          <w:tcPr>
            <w:tcW w:w="1028" w:type="dxa"/>
            <w:vAlign w:val="center"/>
          </w:tcPr>
          <w:p w14:paraId="53976783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民  族</w:t>
            </w:r>
          </w:p>
        </w:tc>
        <w:tc>
          <w:tcPr>
            <w:tcW w:w="883" w:type="dxa"/>
            <w:vAlign w:val="center"/>
          </w:tcPr>
          <w:p w14:paraId="293B2573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  <w:t>汉</w:t>
            </w:r>
          </w:p>
        </w:tc>
        <w:tc>
          <w:tcPr>
            <w:tcW w:w="1253" w:type="dxa"/>
            <w:vAlign w:val="center"/>
          </w:tcPr>
          <w:p w14:paraId="08460C8C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政治面貌</w:t>
            </w:r>
          </w:p>
        </w:tc>
        <w:tc>
          <w:tcPr>
            <w:tcW w:w="1433" w:type="dxa"/>
            <w:vAlign w:val="center"/>
          </w:tcPr>
          <w:p w14:paraId="250CE650">
            <w:pPr>
              <w:adjustRightInd w:val="0"/>
              <w:snapToGrid w:val="0"/>
              <w:spacing w:line="100" w:lineRule="atLeast"/>
              <w:jc w:val="center"/>
              <w:rPr>
                <w:rFonts w:hint="default" w:ascii="仿宋_GB2312" w:hAnsi="等线" w:eastAsia="等线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  <w:t>共青团员</w:t>
            </w:r>
          </w:p>
        </w:tc>
        <w:tc>
          <w:tcPr>
            <w:tcW w:w="1425" w:type="dxa"/>
            <w:vAlign w:val="center"/>
          </w:tcPr>
          <w:p w14:paraId="37349CFF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参加</w:t>
            </w:r>
          </w:p>
          <w:p w14:paraId="33BF85C9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工作时间</w:t>
            </w:r>
          </w:p>
        </w:tc>
        <w:tc>
          <w:tcPr>
            <w:tcW w:w="1282" w:type="dxa"/>
            <w:vAlign w:val="center"/>
          </w:tcPr>
          <w:p w14:paraId="7242CBAC">
            <w:pPr>
              <w:adjustRightInd w:val="0"/>
              <w:snapToGrid w:val="0"/>
              <w:spacing w:line="100" w:lineRule="atLeast"/>
              <w:jc w:val="center"/>
              <w:rPr>
                <w:rFonts w:hint="default" w:ascii="仿宋_GB2312" w:hAnsi="等线" w:eastAsia="等线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  <w:t>2016.08</w:t>
            </w:r>
          </w:p>
        </w:tc>
        <w:tc>
          <w:tcPr>
            <w:tcW w:w="1621" w:type="dxa"/>
            <w:vMerge w:val="continue"/>
            <w:shd w:val="clear" w:color="auto" w:fill="auto"/>
            <w:vAlign w:val="center"/>
          </w:tcPr>
          <w:p w14:paraId="5E4CC5CD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Cs w:val="21"/>
                <w:u w:val="single"/>
              </w:rPr>
            </w:pPr>
          </w:p>
        </w:tc>
      </w:tr>
      <w:tr w14:paraId="3106F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4" w:hRule="atLeast"/>
          <w:jc w:val="center"/>
        </w:trPr>
        <w:tc>
          <w:tcPr>
            <w:tcW w:w="1028" w:type="dxa"/>
            <w:vAlign w:val="center"/>
          </w:tcPr>
          <w:p w14:paraId="4C1102B2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户籍地</w:t>
            </w:r>
          </w:p>
        </w:tc>
        <w:tc>
          <w:tcPr>
            <w:tcW w:w="2136" w:type="dxa"/>
            <w:gridSpan w:val="2"/>
            <w:vAlign w:val="center"/>
          </w:tcPr>
          <w:p w14:paraId="22C57E14">
            <w:pPr>
              <w:adjustRightInd w:val="0"/>
              <w:snapToGrid w:val="0"/>
              <w:spacing w:line="100" w:lineRule="atLeast"/>
              <w:jc w:val="center"/>
              <w:rPr>
                <w:rFonts w:hint="default" w:ascii="仿宋_GB2312" w:hAnsi="等线" w:eastAsia="等线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  <w:t>安徽蚌埠</w:t>
            </w:r>
          </w:p>
        </w:tc>
        <w:tc>
          <w:tcPr>
            <w:tcW w:w="1433" w:type="dxa"/>
            <w:vAlign w:val="center"/>
          </w:tcPr>
          <w:p w14:paraId="396432C6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身高体重</w:t>
            </w:r>
          </w:p>
        </w:tc>
        <w:tc>
          <w:tcPr>
            <w:tcW w:w="2707" w:type="dxa"/>
            <w:gridSpan w:val="2"/>
            <w:vAlign w:val="center"/>
          </w:tcPr>
          <w:p w14:paraId="15D8A587">
            <w:pPr>
              <w:adjustRightInd w:val="0"/>
              <w:snapToGrid w:val="0"/>
              <w:spacing w:line="100" w:lineRule="atLeast"/>
              <w:jc w:val="center"/>
              <w:rPr>
                <w:rFonts w:hint="default" w:ascii="仿宋_GB2312" w:hAnsi="等线" w:eastAsia="等线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  <w:t>175/65</w:t>
            </w:r>
          </w:p>
        </w:tc>
        <w:tc>
          <w:tcPr>
            <w:tcW w:w="1621" w:type="dxa"/>
            <w:vMerge w:val="continue"/>
            <w:shd w:val="clear" w:color="auto" w:fill="auto"/>
            <w:vAlign w:val="center"/>
          </w:tcPr>
          <w:p w14:paraId="4FDE529F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Cs w:val="21"/>
                <w:u w:val="single"/>
              </w:rPr>
            </w:pPr>
          </w:p>
        </w:tc>
      </w:tr>
      <w:tr w14:paraId="14858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2" w:hRule="atLeast"/>
          <w:jc w:val="center"/>
        </w:trPr>
        <w:tc>
          <w:tcPr>
            <w:tcW w:w="1911" w:type="dxa"/>
            <w:gridSpan w:val="2"/>
            <w:vAlign w:val="center"/>
          </w:tcPr>
          <w:p w14:paraId="05D820D6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主要专业特长</w:t>
            </w:r>
          </w:p>
        </w:tc>
        <w:tc>
          <w:tcPr>
            <w:tcW w:w="2686" w:type="dxa"/>
            <w:gridSpan w:val="2"/>
            <w:vAlign w:val="center"/>
          </w:tcPr>
          <w:p w14:paraId="120961A2">
            <w:pPr>
              <w:adjustRightInd w:val="0"/>
              <w:snapToGrid w:val="0"/>
              <w:spacing w:line="100" w:lineRule="atLeast"/>
              <w:jc w:val="center"/>
              <w:rPr>
                <w:rFonts w:hint="default" w:ascii="仿宋_GB2312" w:hAnsi="等线" w:eastAsia="等线" w:cs="Times New Roman"/>
                <w:szCs w:val="21"/>
                <w:u w:val="single"/>
                <w:lang w:val="en-US" w:eastAsia="zh-CN"/>
              </w:rPr>
            </w:pPr>
            <w:bookmarkStart w:id="0" w:name="_GoBack"/>
            <w:r>
              <w:rPr>
                <w:rFonts w:hint="eastAsia" w:ascii="仿宋_GB2312" w:hAnsi="等线" w:eastAsia="等线" w:cs="Times New Roman"/>
                <w:szCs w:val="21"/>
                <w:u w:val="none"/>
                <w:lang w:val="en-US" w:eastAsia="zh-CN"/>
              </w:rPr>
              <w:t>深度学习，数据分析</w:t>
            </w:r>
            <w:bookmarkEnd w:id="0"/>
          </w:p>
        </w:tc>
        <w:tc>
          <w:tcPr>
            <w:tcW w:w="1425" w:type="dxa"/>
            <w:vAlign w:val="center"/>
          </w:tcPr>
          <w:p w14:paraId="6D5AB4ED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Cs w:val="21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婚姻状况</w:t>
            </w:r>
          </w:p>
        </w:tc>
        <w:tc>
          <w:tcPr>
            <w:tcW w:w="2903" w:type="dxa"/>
            <w:gridSpan w:val="2"/>
            <w:vAlign w:val="center"/>
          </w:tcPr>
          <w:p w14:paraId="09023686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Cs w:val="21"/>
                <w:u w:val="single"/>
                <w:lang w:val="en-US" w:eastAsia="zh-CN"/>
              </w:rPr>
            </w:pPr>
            <w:r>
              <w:rPr>
                <w:rFonts w:hint="eastAsia" w:ascii="仿宋_GB2312" w:hAnsi="等线" w:eastAsia="等线" w:cs="Times New Roman"/>
                <w:szCs w:val="21"/>
                <w:u w:val="none"/>
                <w:lang w:val="en-US" w:eastAsia="zh-CN"/>
              </w:rPr>
              <w:t>未婚</w:t>
            </w:r>
          </w:p>
        </w:tc>
      </w:tr>
      <w:tr w14:paraId="601BC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2" w:hRule="atLeast"/>
          <w:jc w:val="center"/>
        </w:trPr>
        <w:tc>
          <w:tcPr>
            <w:tcW w:w="1911" w:type="dxa"/>
            <w:gridSpan w:val="2"/>
            <w:vAlign w:val="center"/>
          </w:tcPr>
          <w:p w14:paraId="0E7B537C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2"/>
                <w:szCs w:val="21"/>
              </w:rPr>
              <w:t>最高全日制学历</w:t>
            </w:r>
          </w:p>
        </w:tc>
        <w:tc>
          <w:tcPr>
            <w:tcW w:w="2686" w:type="dxa"/>
            <w:gridSpan w:val="2"/>
            <w:vAlign w:val="center"/>
          </w:tcPr>
          <w:p w14:paraId="26A862BA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  <w:t>研究生</w:t>
            </w:r>
          </w:p>
        </w:tc>
        <w:tc>
          <w:tcPr>
            <w:tcW w:w="1425" w:type="dxa"/>
            <w:vAlign w:val="center"/>
          </w:tcPr>
          <w:p w14:paraId="148195CF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学校/专业</w:t>
            </w:r>
          </w:p>
        </w:tc>
        <w:tc>
          <w:tcPr>
            <w:tcW w:w="2903" w:type="dxa"/>
            <w:gridSpan w:val="2"/>
            <w:vAlign w:val="center"/>
          </w:tcPr>
          <w:p w14:paraId="309087DB">
            <w:pPr>
              <w:adjustRightInd w:val="0"/>
              <w:snapToGrid w:val="0"/>
              <w:spacing w:line="100" w:lineRule="atLeast"/>
              <w:jc w:val="center"/>
              <w:rPr>
                <w:rFonts w:hint="default" w:ascii="仿宋_GB2312" w:hAnsi="等线" w:eastAsia="等线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  <w:t>东北电力大学</w:t>
            </w:r>
          </w:p>
        </w:tc>
      </w:tr>
      <w:tr w14:paraId="58F95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2" w:hRule="atLeast"/>
          <w:jc w:val="center"/>
        </w:trPr>
        <w:tc>
          <w:tcPr>
            <w:tcW w:w="1911" w:type="dxa"/>
            <w:gridSpan w:val="2"/>
            <w:vAlign w:val="center"/>
          </w:tcPr>
          <w:p w14:paraId="37C505FC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最高在职学历</w:t>
            </w:r>
          </w:p>
        </w:tc>
        <w:tc>
          <w:tcPr>
            <w:tcW w:w="2686" w:type="dxa"/>
            <w:gridSpan w:val="2"/>
            <w:vAlign w:val="center"/>
          </w:tcPr>
          <w:p w14:paraId="0ED80A8C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  <w:t>研究生</w:t>
            </w:r>
          </w:p>
        </w:tc>
        <w:tc>
          <w:tcPr>
            <w:tcW w:w="1425" w:type="dxa"/>
            <w:vAlign w:val="center"/>
          </w:tcPr>
          <w:p w14:paraId="3C832F42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学校/专业</w:t>
            </w:r>
          </w:p>
        </w:tc>
        <w:tc>
          <w:tcPr>
            <w:tcW w:w="2903" w:type="dxa"/>
            <w:gridSpan w:val="2"/>
            <w:vAlign w:val="center"/>
          </w:tcPr>
          <w:p w14:paraId="0358BCF6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  <w:t>东北电力大学</w:t>
            </w:r>
          </w:p>
        </w:tc>
      </w:tr>
      <w:tr w14:paraId="6F1A5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2" w:hRule="atLeast"/>
          <w:jc w:val="center"/>
        </w:trPr>
        <w:tc>
          <w:tcPr>
            <w:tcW w:w="1911" w:type="dxa"/>
            <w:gridSpan w:val="2"/>
            <w:vAlign w:val="center"/>
          </w:tcPr>
          <w:p w14:paraId="74DEDA34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职（执）业资格及职称情况</w:t>
            </w:r>
          </w:p>
        </w:tc>
        <w:tc>
          <w:tcPr>
            <w:tcW w:w="2686" w:type="dxa"/>
            <w:gridSpan w:val="2"/>
            <w:vAlign w:val="center"/>
          </w:tcPr>
          <w:p w14:paraId="48DEEE28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  <w:t>无</w:t>
            </w:r>
          </w:p>
        </w:tc>
        <w:tc>
          <w:tcPr>
            <w:tcW w:w="1425" w:type="dxa"/>
            <w:vAlign w:val="center"/>
          </w:tcPr>
          <w:p w14:paraId="64B3E40D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pacing w:val="-8"/>
                <w:sz w:val="24"/>
                <w:szCs w:val="22"/>
              </w:rPr>
              <w:t>身份证号码</w:t>
            </w:r>
          </w:p>
        </w:tc>
        <w:tc>
          <w:tcPr>
            <w:tcW w:w="2903" w:type="dxa"/>
            <w:gridSpan w:val="2"/>
            <w:vAlign w:val="center"/>
          </w:tcPr>
          <w:p w14:paraId="221748B3">
            <w:pPr>
              <w:adjustRightInd w:val="0"/>
              <w:snapToGrid w:val="0"/>
              <w:spacing w:line="100" w:lineRule="atLeast"/>
              <w:jc w:val="center"/>
              <w:rPr>
                <w:rFonts w:hint="default" w:ascii="仿宋_GB2312" w:hAnsi="等线" w:eastAsia="等线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  <w:t>340322199401070012</w:t>
            </w:r>
          </w:p>
        </w:tc>
      </w:tr>
      <w:tr w14:paraId="61793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2" w:hRule="atLeast"/>
          <w:jc w:val="center"/>
        </w:trPr>
        <w:tc>
          <w:tcPr>
            <w:tcW w:w="1911" w:type="dxa"/>
            <w:gridSpan w:val="2"/>
            <w:vAlign w:val="center"/>
          </w:tcPr>
          <w:p w14:paraId="01077011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联系地址</w:t>
            </w:r>
          </w:p>
        </w:tc>
        <w:tc>
          <w:tcPr>
            <w:tcW w:w="2686" w:type="dxa"/>
            <w:gridSpan w:val="2"/>
            <w:vAlign w:val="center"/>
          </w:tcPr>
          <w:p w14:paraId="7830B94C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Times New Roman Regular" w:hAnsi="Times New Roman Regular" w:eastAsia="新宋体" w:cs="Times New Roman Regular"/>
                <w:kern w:val="0"/>
                <w:sz w:val="24"/>
                <w:szCs w:val="24"/>
                <w:highlight w:val="none"/>
                <w:lang w:val="en-US" w:eastAsia="zh-CN"/>
              </w:rPr>
              <w:t>安徽省蚌埠市五河县碧水花园</w:t>
            </w:r>
          </w:p>
        </w:tc>
        <w:tc>
          <w:tcPr>
            <w:tcW w:w="1425" w:type="dxa"/>
            <w:vAlign w:val="center"/>
          </w:tcPr>
          <w:p w14:paraId="58D9DE1D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E-mail</w:t>
            </w:r>
          </w:p>
        </w:tc>
        <w:tc>
          <w:tcPr>
            <w:tcW w:w="2903" w:type="dxa"/>
            <w:gridSpan w:val="2"/>
            <w:vAlign w:val="center"/>
          </w:tcPr>
          <w:p w14:paraId="712A7BB6">
            <w:pPr>
              <w:adjustRightInd w:val="0"/>
              <w:snapToGrid w:val="0"/>
              <w:spacing w:line="100" w:lineRule="atLeast"/>
              <w:jc w:val="center"/>
              <w:rPr>
                <w:rFonts w:hint="default" w:ascii="仿宋_GB2312" w:hAnsi="等线" w:eastAsia="等线" w:cs="Times New Roman"/>
                <w:sz w:val="24"/>
                <w:szCs w:val="22"/>
                <w:lang w:val="en-US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  <w:t>15620830822@163.com</w:t>
            </w:r>
          </w:p>
        </w:tc>
      </w:tr>
      <w:tr w14:paraId="3CCCB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2" w:hRule="atLeast"/>
          <w:jc w:val="center"/>
        </w:trPr>
        <w:tc>
          <w:tcPr>
            <w:tcW w:w="1911" w:type="dxa"/>
            <w:gridSpan w:val="2"/>
            <w:vAlign w:val="center"/>
          </w:tcPr>
          <w:p w14:paraId="6E6A3C08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联系电话</w:t>
            </w:r>
          </w:p>
        </w:tc>
        <w:tc>
          <w:tcPr>
            <w:tcW w:w="2686" w:type="dxa"/>
            <w:gridSpan w:val="2"/>
            <w:vAlign w:val="center"/>
          </w:tcPr>
          <w:p w14:paraId="6E45A90F">
            <w:pPr>
              <w:adjustRightInd w:val="0"/>
              <w:snapToGrid w:val="0"/>
              <w:spacing w:line="100" w:lineRule="atLeast"/>
              <w:jc w:val="center"/>
              <w:rPr>
                <w:rFonts w:hint="default" w:ascii="仿宋_GB2312" w:hAnsi="等线" w:eastAsia="等线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  <w:t>15620830822</w:t>
            </w:r>
          </w:p>
        </w:tc>
        <w:tc>
          <w:tcPr>
            <w:tcW w:w="1425" w:type="dxa"/>
            <w:vAlign w:val="center"/>
          </w:tcPr>
          <w:p w14:paraId="53A2AB13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期望年薪</w:t>
            </w:r>
          </w:p>
          <w:p w14:paraId="3EBFEDF4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（万元）</w:t>
            </w:r>
          </w:p>
        </w:tc>
        <w:tc>
          <w:tcPr>
            <w:tcW w:w="2903" w:type="dxa"/>
            <w:gridSpan w:val="2"/>
            <w:vAlign w:val="center"/>
          </w:tcPr>
          <w:p w14:paraId="0C8EAF39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  <w:t>5</w:t>
            </w:r>
          </w:p>
        </w:tc>
      </w:tr>
      <w:tr w14:paraId="7A63B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11" w:hRule="atLeast"/>
          <w:jc w:val="center"/>
        </w:trPr>
        <w:tc>
          <w:tcPr>
            <w:tcW w:w="1911" w:type="dxa"/>
            <w:gridSpan w:val="2"/>
            <w:vAlign w:val="center"/>
          </w:tcPr>
          <w:p w14:paraId="2F1DE416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教育经历</w:t>
            </w:r>
          </w:p>
        </w:tc>
        <w:tc>
          <w:tcPr>
            <w:tcW w:w="7014" w:type="dxa"/>
            <w:gridSpan w:val="5"/>
          </w:tcPr>
          <w:p w14:paraId="3E6D221B">
            <w:p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2009.09-2012.06 蚌埠二中</w:t>
            </w:r>
          </w:p>
          <w:p w14:paraId="51FCD619">
            <w:p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2012.09-2016.06 天津科技大学 包装与印刷工程学院 物流工程 工学学士 全日制</w:t>
            </w:r>
          </w:p>
          <w:p w14:paraId="370ADAD0">
            <w:p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2022.09-2025.06 东北电力大学 计算机学院 计算机技术 工学硕士 全日制</w:t>
            </w:r>
          </w:p>
          <w:p w14:paraId="1F958529">
            <w:p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</w:p>
        </w:tc>
      </w:tr>
      <w:tr w14:paraId="035C0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1" w:hRule="atLeast"/>
          <w:jc w:val="center"/>
        </w:trPr>
        <w:tc>
          <w:tcPr>
            <w:tcW w:w="1911" w:type="dxa"/>
            <w:gridSpan w:val="2"/>
            <w:vAlign w:val="center"/>
          </w:tcPr>
          <w:p w14:paraId="470951AF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</w:p>
          <w:p w14:paraId="0812496D">
            <w:pPr>
              <w:adjustRightInd w:val="0"/>
              <w:snapToGrid w:val="0"/>
              <w:spacing w:line="100" w:lineRule="atLeast"/>
              <w:jc w:val="both"/>
              <w:rPr>
                <w:rFonts w:hint="eastAsia" w:ascii="宋体" w:hAnsi="宋体" w:eastAsia="等线" w:cs="宋体"/>
                <w:kern w:val="0"/>
                <w:sz w:val="20"/>
                <w:szCs w:val="21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  <w:t>实习/</w:t>
            </w: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工作</w:t>
            </w:r>
            <w:r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  <w:t>经历</w:t>
            </w:r>
          </w:p>
        </w:tc>
        <w:tc>
          <w:tcPr>
            <w:tcW w:w="7014" w:type="dxa"/>
            <w:gridSpan w:val="5"/>
          </w:tcPr>
          <w:p w14:paraId="700DC576">
            <w:p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2019</w:t>
            </w: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03</w:t>
            </w: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01-2022</w:t>
            </w: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07</w:t>
            </w: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01</w:t>
            </w: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宇信科技集团有限公司/研发部门</w:t>
            </w: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数据开发工程师</w:t>
            </w:r>
          </w:p>
          <w:p w14:paraId="29360AB3">
            <w:p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(一)中信银行跨境交易知识图谱筛查项目</w:t>
            </w:r>
          </w:p>
          <w:p w14:paraId="08B7B73E">
            <w:p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(二)中信银行数仓迁移项目（TD迁移至GS）</w:t>
            </w:r>
          </w:p>
          <w:p w14:paraId="02D71290">
            <w:p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(三)邮储银行个人客户分群画像产品</w:t>
            </w:r>
          </w:p>
          <w:p w14:paraId="1C8B2644">
            <w:p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(四)邮储银行信用卡集市项目</w:t>
            </w:r>
          </w:p>
          <w:p w14:paraId="1F62F418">
            <w:p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</w:p>
          <w:p w14:paraId="72400CD9">
            <w:p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1.跨境交易知识图谱与反诈模型落地：构建中信银行图谱+AI智能排查系统，实现对涉赌涉诈社团及卧底账户的自动识别；显著提升风险筛查的精准度与自动化水平，为风控系统建设提供强力支撑。</w:t>
            </w:r>
          </w:p>
          <w:p w14:paraId="1A28886E">
            <w:p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2.数据仓库国产化成功迁移：完成 Teradata 至 GaussDB 的大规模迁移任务；迁移后系统运行更稳定、任务效率提升、数据准确性验证100%通过。</w:t>
            </w:r>
          </w:p>
          <w:p w14:paraId="280CE9F2">
            <w:p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3.客户画像体系与营销支撑平台搭建：分析上千万级客户数据，构建精准用户画像模型，覆盖多类金融客群；通过可视化产品支撑业务部门客户分析与营销策略制定。</w:t>
            </w:r>
          </w:p>
          <w:p w14:paraId="3B4888A3">
            <w:pPr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信用卡数据集市平台建设与优化：建设完整的数据集市架构，提升数据可用性、安全性和访问效率；项目成功后，支持全行信用卡业务的实时数据监控与趋势研判。</w:t>
            </w:r>
          </w:p>
          <w:p w14:paraId="335AC4B5">
            <w:pPr>
              <w:widowControl w:val="0"/>
              <w:numPr>
                <w:numId w:val="0"/>
              </w:num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</w:p>
          <w:p w14:paraId="7330F2F7">
            <w:pPr>
              <w:widowControl w:val="0"/>
              <w:numPr>
                <w:numId w:val="0"/>
              </w:num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2016</w:t>
            </w: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08</w:t>
            </w: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01-2019</w:t>
            </w: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01</w:t>
            </w: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01 和鸿盈科技术有限公司/研发部门 数据分析师</w:t>
            </w:r>
          </w:p>
          <w:p w14:paraId="142AFD56">
            <w:pPr>
              <w:widowControl w:val="0"/>
              <w:numPr>
                <w:numId w:val="0"/>
              </w:num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(一)联通用户上网行为分析项目</w:t>
            </w:r>
          </w:p>
          <w:p w14:paraId="29716098">
            <w:pPr>
              <w:widowControl w:val="0"/>
              <w:numPr>
                <w:numId w:val="0"/>
              </w:num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(二)联通存量套餐升级及维系项目</w:t>
            </w:r>
          </w:p>
          <w:p w14:paraId="5E0F892E">
            <w:pPr>
              <w:widowControl w:val="0"/>
              <w:numPr>
                <w:numId w:val="0"/>
              </w:num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</w:p>
          <w:p w14:paraId="2F9DC384">
            <w:pPr>
              <w:widowControl w:val="0"/>
              <w:numPr>
                <w:numId w:val="0"/>
              </w:num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1.提升运营效率与收入增长：基于大数据分析支撑精准营销，有效提升北京联通流量使用率与用户粘性；促进在网用户增长与收入提升。</w:t>
            </w:r>
          </w:p>
          <w:p w14:paraId="2C321D0E">
            <w:pPr>
              <w:widowControl w:val="0"/>
              <w:numPr>
                <w:numId w:val="0"/>
              </w:num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2.构建智能流失预警系统：建立流失预警模型并配合营销干预手段，将用户流失率控制在5%以内；项目执行后，用户活跃度提升238%，显著改善用户价值。</w:t>
            </w:r>
          </w:p>
          <w:p w14:paraId="69F91FF6">
            <w:pPr>
              <w:widowControl w:val="0"/>
              <w:numPr>
                <w:numId w:val="0"/>
              </w:num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3.实现高效数据处理体系：建立从数据采集、存储、建模、分析到自动化运维的完整流程；有效支持局方多项临时业务需求，保障数据清单的及时性与准确性。</w:t>
            </w:r>
          </w:p>
          <w:p w14:paraId="50B9DC5E">
            <w:p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</w:p>
          <w:p w14:paraId="29344651">
            <w:p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</w:p>
          <w:p w14:paraId="69A2EC7B">
            <w:pPr>
              <w:adjustRightInd w:val="0"/>
              <w:snapToGrid w:val="0"/>
              <w:spacing w:afterAutospacing="0"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</w:p>
          <w:p w14:paraId="2AFC64BF">
            <w:pPr>
              <w:adjustRightInd w:val="0"/>
              <w:snapToGrid w:val="0"/>
              <w:spacing w:afterAutospacing="0"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</w:p>
          <w:p w14:paraId="5AC26024">
            <w:pPr>
              <w:adjustRightInd w:val="0"/>
              <w:snapToGrid w:val="0"/>
              <w:spacing w:before="5562" w:beforeLines="1782" w:beforeAutospacing="0" w:after="1563" w:afterLines="501" w:afterAutospacing="0"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</w:p>
          <w:p w14:paraId="7723C66D">
            <w:pPr>
              <w:adjustRightInd w:val="0"/>
              <w:snapToGrid w:val="0"/>
              <w:spacing w:beforeAutospacing="0" w:line="100" w:lineRule="atLeast"/>
              <w:jc w:val="both"/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</w:pPr>
          </w:p>
        </w:tc>
      </w:tr>
      <w:tr w14:paraId="0EE87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03" w:hRule="atLeast"/>
          <w:jc w:val="center"/>
        </w:trPr>
        <w:tc>
          <w:tcPr>
            <w:tcW w:w="1911" w:type="dxa"/>
            <w:gridSpan w:val="2"/>
            <w:vAlign w:val="center"/>
          </w:tcPr>
          <w:p w14:paraId="6F2474E9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家庭成员及</w:t>
            </w:r>
          </w:p>
          <w:p w14:paraId="05BB3E5C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主要社会关系</w:t>
            </w:r>
          </w:p>
        </w:tc>
        <w:tc>
          <w:tcPr>
            <w:tcW w:w="7014" w:type="dxa"/>
            <w:gridSpan w:val="5"/>
            <w:vAlign w:val="center"/>
          </w:tcPr>
          <w:p w14:paraId="7E94124A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父亲 魏玉杰 安徽农业广播电视大学（五河校区） 财务主管</w:t>
            </w:r>
          </w:p>
        </w:tc>
      </w:tr>
      <w:tr w14:paraId="202C7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9" w:hRule="atLeast"/>
          <w:jc w:val="center"/>
        </w:trPr>
        <w:tc>
          <w:tcPr>
            <w:tcW w:w="1911" w:type="dxa"/>
            <w:gridSpan w:val="2"/>
            <w:vAlign w:val="center"/>
          </w:tcPr>
          <w:p w14:paraId="51DDB8F3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其他说明事项</w:t>
            </w:r>
          </w:p>
        </w:tc>
        <w:tc>
          <w:tcPr>
            <w:tcW w:w="7014" w:type="dxa"/>
            <w:gridSpan w:val="5"/>
          </w:tcPr>
          <w:p w14:paraId="178192AB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新宋体" w:eastAsia="等线" w:cs="Times New Roman"/>
                <w:b/>
                <w:bCs/>
                <w:sz w:val="20"/>
                <w:szCs w:val="22"/>
              </w:rPr>
            </w:pPr>
          </w:p>
        </w:tc>
      </w:tr>
      <w:tr w14:paraId="70B43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2" w:hRule="atLeast"/>
          <w:jc w:val="center"/>
        </w:trPr>
        <w:tc>
          <w:tcPr>
            <w:tcW w:w="8925" w:type="dxa"/>
            <w:gridSpan w:val="7"/>
            <w:shd w:val="clear" w:color="auto" w:fill="D9D9D9"/>
            <w:vAlign w:val="center"/>
          </w:tcPr>
          <w:p w14:paraId="65C15899">
            <w:pPr>
              <w:adjustRightInd w:val="0"/>
              <w:snapToGrid w:val="0"/>
              <w:spacing w:line="100" w:lineRule="atLeast"/>
              <w:jc w:val="center"/>
              <w:rPr>
                <w:rFonts w:hint="eastAsia" w:ascii="黑体" w:hAnsi="黑体" w:eastAsia="黑体" w:cs="Times New Roman"/>
                <w:szCs w:val="32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Cs w:val="32"/>
              </w:rPr>
              <w:t>承  诺</w:t>
            </w:r>
          </w:p>
        </w:tc>
      </w:tr>
      <w:tr w14:paraId="2C5AC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25" w:hRule="atLeast"/>
          <w:jc w:val="center"/>
        </w:trPr>
        <w:tc>
          <w:tcPr>
            <w:tcW w:w="8925" w:type="dxa"/>
            <w:gridSpan w:val="7"/>
            <w:vAlign w:val="center"/>
          </w:tcPr>
          <w:p w14:paraId="0DE4ACED">
            <w:pPr>
              <w:adjustRightInd w:val="0"/>
              <w:snapToGrid w:val="0"/>
              <w:spacing w:line="100" w:lineRule="atLeast"/>
              <w:ind w:firstLine="480" w:firstLineChars="200"/>
              <w:jc w:val="left"/>
              <w:rPr>
                <w:rFonts w:hint="eastAsia" w:ascii="仿宋_GB2312" w:hAnsi="等线" w:eastAsia="等线" w:cs="Times New Roman"/>
                <w:bCs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bCs/>
                <w:sz w:val="24"/>
                <w:szCs w:val="22"/>
              </w:rPr>
              <w:t>我谨此证实以上表格所述内容无虚假、夸大之处，且未隐瞒对我应聘不利的事实或情况。如有虚报和瞒报，我愿承担相应的责任。</w:t>
            </w:r>
          </w:p>
          <w:p w14:paraId="666F83B7">
            <w:pPr>
              <w:adjustRightInd w:val="0"/>
              <w:snapToGrid w:val="0"/>
              <w:spacing w:line="100" w:lineRule="atLeast"/>
              <w:ind w:firstLine="480" w:firstLineChars="200"/>
              <w:jc w:val="left"/>
              <w:rPr>
                <w:rFonts w:hint="eastAsia" w:ascii="仿宋_GB2312" w:hAnsi="等线" w:eastAsia="等线" w:cs="Times New Roman"/>
                <w:bCs/>
                <w:sz w:val="24"/>
                <w:szCs w:val="22"/>
              </w:rPr>
            </w:pPr>
          </w:p>
          <w:p w14:paraId="043B92F1">
            <w:pPr>
              <w:adjustRightInd w:val="0"/>
              <w:snapToGrid w:val="0"/>
              <w:spacing w:line="100" w:lineRule="atLeast"/>
              <w:jc w:val="center"/>
              <w:rPr>
                <w:rFonts w:hint="default" w:ascii="仿宋_GB2312" w:hAnsi="等线" w:eastAsia="等线" w:cs="Times New Roman"/>
                <w:sz w:val="24"/>
                <w:szCs w:val="22"/>
                <w:lang w:val="en-US" w:eastAsia="zh-CN"/>
              </w:rPr>
            </w:pPr>
            <w:r>
              <w:rPr>
                <w:rFonts w:hint="eastAsia" w:ascii="仿宋_GB2312" w:hAnsi="等线" w:eastAsia="等线" w:cs="Times New Roman"/>
                <w:b/>
                <w:bCs/>
                <w:sz w:val="24"/>
                <w:szCs w:val="22"/>
              </w:rPr>
              <w:t xml:space="preserve">申请人签名： </w:t>
            </w:r>
            <w:r>
              <w:rPr>
                <w:rFonts w:hint="eastAsia" w:ascii="仿宋_GB2312" w:hAnsi="等线" w:eastAsia="等线" w:cs="Times New Roman"/>
                <w:b/>
                <w:bCs/>
                <w:sz w:val="24"/>
                <w:szCs w:val="22"/>
                <w:lang w:val="en-US" w:eastAsia="zh-CN"/>
              </w:rPr>
              <w:t>魏旻瀚</w:t>
            </w:r>
            <w:r>
              <w:rPr>
                <w:rFonts w:hint="eastAsia" w:ascii="仿宋_GB2312" w:hAnsi="等线" w:eastAsia="等线" w:cs="Times New Roman"/>
                <w:b/>
                <w:bCs/>
                <w:sz w:val="24"/>
                <w:szCs w:val="22"/>
              </w:rPr>
              <w:t xml:space="preserve">        日期：</w:t>
            </w: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 xml:space="preserve"> </w:t>
            </w:r>
            <w:r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  <w:t>2025年07月15日</w:t>
            </w:r>
          </w:p>
        </w:tc>
      </w:tr>
    </w:tbl>
    <w:p w14:paraId="0A584EE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A31041"/>
    <w:multiLevelType w:val="singleLevel"/>
    <w:tmpl w:val="47A3104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xNzlkY2YyOWY3NTgwNTBhNTc1MTdlNDJkYjc5NGIifQ=="/>
  </w:docVars>
  <w:rsids>
    <w:rsidRoot w:val="00000000"/>
    <w:rsid w:val="124E561A"/>
    <w:rsid w:val="59CB101B"/>
    <w:rsid w:val="6A380706"/>
    <w:rsid w:val="6D2E7A42"/>
    <w:rsid w:val="780078A9"/>
    <w:rsid w:val="78C1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344</Words>
  <Characters>349</Characters>
  <Lines>0</Lines>
  <Paragraphs>0</Paragraphs>
  <TotalTime>32</TotalTime>
  <ScaleCrop>false</ScaleCrop>
  <LinksUpToDate>false</LinksUpToDate>
  <CharactersWithSpaces>436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2025-03-24T08:18:00Z</dcterms:created>
  <dc:creator>sdgkq</dc:creator>
  <cp:lastModifiedBy>魏旻瀚</cp:lastModifiedBy>
  <dcterms:modified xsi:type="dcterms:W3CDTF">2025-07-15T04:49:41Z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3D92791B448D49E580304FC9F054ACDD_13</vt:lpwstr>
  </property>
  <property fmtid="{D5CDD505-2E9C-101B-9397-08002B2CF9AE}" pid="4" name="KSOTemplateDocerSaveRecord">
    <vt:lpwstr>eyJoZGlkIjoiNDYxODU5NTc1Y2NmMWU0MGMxZTAzMDdmNGUwZDFkMGEiLCJ1c2VySWQiOiIzMjgwNjExMzAifQ==</vt:lpwstr>
  </property>
</Properties>
</file>