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Our lesson slides contain visual elements, such as historical images or timelines, associated with rich explanations. This document provides the verbal explanation that accompanies these visual elements - otherwise known as a narrative. The narrative and slides are matched via this icon: </w:t>
      </w:r>
      <w:r w:rsidDel="00000000" w:rsidR="00000000" w:rsidRPr="00000000">
        <w:drawing>
          <wp:anchor allowOverlap="1" behindDoc="0" distB="19050" distT="19050" distL="19050" distR="19050" hidden="0" layoutInCell="1" locked="0" relativeHeight="0" simplePos="0">
            <wp:simplePos x="0" y="0"/>
            <wp:positionH relativeFrom="column">
              <wp:posOffset>2417976</wp:posOffset>
            </wp:positionH>
            <wp:positionV relativeFrom="paragraph">
              <wp:posOffset>676275</wp:posOffset>
            </wp:positionV>
            <wp:extent cx="324528" cy="208625"/>
            <wp:effectExtent b="0" l="0" r="0" t="0"/>
            <wp:wrapNone/>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4528" cy="208625"/>
                    </a:xfrm>
                    <a:prstGeom prst="rect"/>
                    <a:ln/>
                  </pic:spPr>
                </pic:pic>
              </a:graphicData>
            </a:graphic>
          </wp:anchor>
        </w:drawing>
      </w:r>
    </w:p>
    <w:p w:rsidR="00000000" w:rsidDel="00000000" w:rsidP="00000000" w:rsidRDefault="00000000" w:rsidRPr="00000000" w14:paraId="00000002">
      <w:pPr>
        <w:spacing w:line="276" w:lineRule="auto"/>
        <w:rPr>
          <w:rFonts w:ascii="Lexend" w:cs="Lexend" w:eastAsia="Lexend" w:hAnsi="Lexend"/>
          <w:sz w:val="18"/>
          <w:szCs w:val="18"/>
          <w:highlight w:val="white"/>
        </w:rPr>
      </w:pPr>
      <w:r w:rsidDel="00000000" w:rsidR="00000000" w:rsidRPr="00000000">
        <w:rPr>
          <w:rtl w:val="0"/>
        </w:rPr>
      </w:r>
    </w:p>
    <w:p w:rsidR="00000000" w:rsidDel="00000000" w:rsidP="00000000" w:rsidRDefault="00000000" w:rsidRPr="00000000" w14:paraId="00000003">
      <w:pPr>
        <w:widowControl w:val="0"/>
        <w:pBdr>
          <w:top w:color="auto" w:space="1" w:sz="0" w:val="none"/>
          <w:left w:color="auto" w:space="1" w:sz="0" w:val="none"/>
          <w:bottom w:color="auto" w:space="1" w:sz="0" w:val="none"/>
          <w:right w:color="auto" w:space="1" w:sz="0" w:val="none"/>
        </w:pBdr>
        <w:shd w:fill="7e5cd2" w:val="clear"/>
        <w:spacing w:after="200" w:line="276" w:lineRule="auto"/>
        <w:rPr>
          <w:rFonts w:ascii="Lexend" w:cs="Lexend" w:eastAsia="Lexend" w:hAnsi="Lexend"/>
          <w:color w:val="ffffff"/>
          <w:sz w:val="28"/>
          <w:szCs w:val="28"/>
        </w:rPr>
      </w:pPr>
      <w:r w:rsidDel="00000000" w:rsidR="00000000" w:rsidRPr="00000000">
        <w:rPr>
          <w:rFonts w:ascii="Lexend" w:cs="Lexend" w:eastAsia="Lexend" w:hAnsi="Lexend"/>
          <w:color w:val="ffffff"/>
          <w:sz w:val="28"/>
          <w:szCs w:val="28"/>
          <w:rtl w:val="0"/>
        </w:rPr>
        <w:t xml:space="preserve">The weak rule of Henry VI</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390525</wp:posOffset>
            </wp:positionV>
            <wp:extent cx="357039" cy="229525"/>
            <wp:effectExtent b="0" l="0" r="0" t="0"/>
            <wp:wrapNone/>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7039" cy="229525"/>
                    </a:xfrm>
                    <a:prstGeom prst="rect"/>
                    <a:ln/>
                  </pic:spPr>
                </pic:pic>
              </a:graphicData>
            </a:graphic>
          </wp:anchor>
        </w:drawing>
      </w:r>
    </w:p>
    <w:p w:rsidR="00000000" w:rsidDel="00000000" w:rsidP="00000000" w:rsidRDefault="00000000" w:rsidRPr="00000000" w14:paraId="00000004">
      <w:pPr>
        <w:spacing w:after="200" w:line="276" w:lineRule="auto"/>
        <w:rPr>
          <w:rFonts w:ascii="Lexend" w:cs="Lexend" w:eastAsia="Lexend" w:hAnsi="Lexend"/>
          <w:b w:val="1"/>
          <w:highlight w:val="white"/>
        </w:rPr>
      </w:pPr>
      <w:r w:rsidDel="00000000" w:rsidR="00000000" w:rsidRPr="00000000">
        <w:rPr>
          <w:rFonts w:ascii="Lexend" w:cs="Lexend" w:eastAsia="Lexend" w:hAnsi="Lexend"/>
          <w:b w:val="1"/>
          <w:highlight w:val="white"/>
          <w:rtl w:val="0"/>
        </w:rPr>
        <w:t xml:space="preserve"> A</w:t>
      </w:r>
    </w:p>
    <w:p w:rsidR="00000000" w:rsidDel="00000000" w:rsidP="00000000" w:rsidRDefault="00000000" w:rsidRPr="00000000" w14:paraId="00000005">
      <w:pPr>
        <w:spacing w:line="276"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In the early 15th century, an argument broke out between members of England’s royal family. This involved two different sides of the one family called the Plantagenets. The Plantagenets were all descendants of Edward III (reign 1327-1377). One branch of the family was called the </w:t>
      </w:r>
      <w:r w:rsidDel="00000000" w:rsidR="00000000" w:rsidRPr="00000000">
        <w:rPr>
          <w:rFonts w:ascii="Lexend" w:cs="Lexend" w:eastAsia="Lexend" w:hAnsi="Lexend"/>
          <w:b w:val="1"/>
          <w:highlight w:val="white"/>
          <w:rtl w:val="0"/>
        </w:rPr>
        <w:t xml:space="preserve">House</w:t>
      </w:r>
      <w:r w:rsidDel="00000000" w:rsidR="00000000" w:rsidRPr="00000000">
        <w:rPr>
          <w:rFonts w:ascii="Lexend" w:cs="Lexend" w:eastAsia="Lexend" w:hAnsi="Lexend"/>
          <w:highlight w:val="white"/>
          <w:rtl w:val="0"/>
        </w:rPr>
        <w:t xml:space="preserve"> of Lancaster and the other was called the </w:t>
      </w:r>
      <w:r w:rsidDel="00000000" w:rsidR="00000000" w:rsidRPr="00000000">
        <w:rPr>
          <w:rFonts w:ascii="Lexend" w:cs="Lexend" w:eastAsia="Lexend" w:hAnsi="Lexend"/>
          <w:b w:val="1"/>
          <w:highlight w:val="white"/>
          <w:rtl w:val="0"/>
        </w:rPr>
        <w:t xml:space="preserve">House</w:t>
      </w:r>
      <w:r w:rsidDel="00000000" w:rsidR="00000000" w:rsidRPr="00000000">
        <w:rPr>
          <w:rFonts w:ascii="Lexend" w:cs="Lexend" w:eastAsia="Lexend" w:hAnsi="Lexend"/>
          <w:highlight w:val="white"/>
          <w:rtl w:val="0"/>
        </w:rPr>
        <w:t xml:space="preserve"> of York. The argument between the Lancaster family and the York family became known as the Wars of the Roses because both families used a rose symbol on their shields and banners. The Lancastrians used a red rose and the Yorkists used a white rose.   </w:t>
      </w:r>
    </w:p>
    <w:p w:rsidR="00000000" w:rsidDel="00000000" w:rsidP="00000000" w:rsidRDefault="00000000" w:rsidRPr="00000000" w14:paraId="00000006">
      <w:pPr>
        <w:spacing w:line="276" w:lineRule="auto"/>
        <w:rPr>
          <w:rFonts w:ascii="Lexend" w:cs="Lexend" w:eastAsia="Lexend" w:hAnsi="Lexend"/>
          <w:highlight w:val="white"/>
        </w:rPr>
      </w:pPr>
      <w:r w:rsidDel="00000000" w:rsidR="00000000" w:rsidRPr="00000000">
        <w:rPr>
          <w:rtl w:val="0"/>
        </w:rPr>
      </w:r>
    </w:p>
    <w:p w:rsidR="00000000" w:rsidDel="00000000" w:rsidP="00000000" w:rsidRDefault="00000000" w:rsidRPr="00000000" w14:paraId="00000007">
      <w:pPr>
        <w:spacing w:line="276"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The argument between the Lancaster and York </w:t>
      </w:r>
      <w:r w:rsidDel="00000000" w:rsidR="00000000" w:rsidRPr="00000000">
        <w:rPr>
          <w:rFonts w:ascii="Lexend" w:cs="Lexend" w:eastAsia="Lexend" w:hAnsi="Lexend"/>
          <w:highlight w:val="white"/>
          <w:rtl w:val="0"/>
        </w:rPr>
        <w:t xml:space="preserve">family branches </w:t>
      </w:r>
      <w:r w:rsidDel="00000000" w:rsidR="00000000" w:rsidRPr="00000000">
        <w:rPr>
          <w:rFonts w:ascii="Lexend" w:cs="Lexend" w:eastAsia="Lexend" w:hAnsi="Lexend"/>
          <w:highlight w:val="white"/>
          <w:rtl w:val="0"/>
        </w:rPr>
        <w:t xml:space="preserve">started when Henry VI was king of England. He was from the Lancastrian side of the family and had become king when he was only nine months old in 1422. Until he was old enough to rule England on his own, the country was governed by a council of powerful men. When he was only eight, he was officially crowned as king but he continued to be easily influenced by others throughout his reign. Henry’s father, Henry V, had gained a reputation for being a brave warrior due to his military victories against the French in the Hundred Years’ War (1337-1453). However, Henry VI was a much weaker ruler than his father, lacked interest in military matters and struggled to control the country due to his lack of authority. He also suffered from periods of time where he would shut himself away from everyone and sit in silence and darkness for hours on end.</w:t>
      </w:r>
    </w:p>
    <w:p w:rsidR="00000000" w:rsidDel="00000000" w:rsidP="00000000" w:rsidRDefault="00000000" w:rsidRPr="00000000" w14:paraId="00000008">
      <w:pPr>
        <w:spacing w:line="276" w:lineRule="auto"/>
        <w:rPr>
          <w:rFonts w:ascii="Lexend" w:cs="Lexend" w:eastAsia="Lexend" w:hAnsi="Lexend"/>
          <w:highlight w:val="white"/>
        </w:rPr>
      </w:pPr>
      <w:r w:rsidDel="00000000" w:rsidR="00000000" w:rsidRPr="00000000">
        <w:rPr>
          <w:rtl w:val="0"/>
        </w:rPr>
      </w:r>
    </w:p>
    <w:p w:rsidR="00000000" w:rsidDel="00000000" w:rsidP="00000000" w:rsidRDefault="00000000" w:rsidRPr="00000000" w14:paraId="00000009">
      <w:pPr>
        <w:spacing w:after="200" w:line="276"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England remained at war with France during Henry VI’s reign, but without strong leadership this resulted in defeat for the English. A further blow to Henry’s reputation was that between 1450 and 1453, England lost land in </w:t>
      </w:r>
      <w:r w:rsidDel="00000000" w:rsidR="00000000" w:rsidRPr="00000000">
        <w:rPr>
          <w:rFonts w:ascii="Lexend" w:cs="Lexend" w:eastAsia="Lexend" w:hAnsi="Lexend"/>
          <w:b w:val="1"/>
          <w:highlight w:val="white"/>
          <w:rtl w:val="0"/>
        </w:rPr>
        <w:t xml:space="preserve">Normandy</w:t>
      </w:r>
      <w:r w:rsidDel="00000000" w:rsidR="00000000" w:rsidRPr="00000000">
        <w:rPr>
          <w:rFonts w:ascii="Lexend" w:cs="Lexend" w:eastAsia="Lexend" w:hAnsi="Lexend"/>
          <w:highlight w:val="white"/>
          <w:rtl w:val="0"/>
        </w:rPr>
        <w:t xml:space="preserve"> and in </w:t>
      </w:r>
      <w:r w:rsidDel="00000000" w:rsidR="00000000" w:rsidRPr="00000000">
        <w:rPr>
          <w:rFonts w:ascii="Lexend" w:cs="Lexend" w:eastAsia="Lexend" w:hAnsi="Lexend"/>
          <w:b w:val="1"/>
          <w:highlight w:val="white"/>
          <w:rtl w:val="0"/>
        </w:rPr>
        <w:t xml:space="preserve">Gascony</w:t>
      </w:r>
      <w:r w:rsidDel="00000000" w:rsidR="00000000" w:rsidRPr="00000000">
        <w:rPr>
          <w:rFonts w:ascii="Lexend" w:cs="Lexend" w:eastAsia="Lexend" w:hAnsi="Lexend"/>
          <w:highlight w:val="white"/>
          <w:rtl w:val="0"/>
        </w:rPr>
        <w:t xml:space="preserve">, and eventually only Calais remained in English hands. This was devastating for Henry VI’s reputation as a strong ruler and as a result he became unpopular with the English nobility. He had spent a great deal of money on the war with France and its failure eventually resulted in some nobles rebelling against him in southern England.</w:t>
      </w:r>
    </w:p>
    <w:p w:rsidR="00000000" w:rsidDel="00000000" w:rsidP="00000000" w:rsidRDefault="00000000" w:rsidRPr="00000000" w14:paraId="0000000A">
      <w:pPr>
        <w:spacing w:after="200" w:line="276" w:lineRule="auto"/>
        <w:rPr>
          <w:rFonts w:ascii="Lexend" w:cs="Lexend" w:eastAsia="Lexend" w:hAnsi="Lexend"/>
          <w:highlight w:val="white"/>
        </w:rPr>
      </w:pPr>
      <w:r w:rsidDel="00000000" w:rsidR="00000000" w:rsidRPr="00000000">
        <w:rPr>
          <w:rtl w:val="0"/>
        </w:rPr>
      </w:r>
    </w:p>
    <w:p w:rsidR="00000000" w:rsidDel="00000000" w:rsidP="00000000" w:rsidRDefault="00000000" w:rsidRPr="00000000" w14:paraId="0000000B">
      <w:pPr>
        <w:widowControl w:val="0"/>
        <w:pBdr>
          <w:top w:color="auto" w:space="1" w:sz="0" w:val="none"/>
          <w:left w:color="auto" w:space="1" w:sz="0" w:val="none"/>
          <w:bottom w:color="auto" w:space="1" w:sz="0" w:val="none"/>
          <w:right w:color="auto" w:space="1" w:sz="0" w:val="none"/>
        </w:pBdr>
        <w:shd w:fill="037b7d" w:val="clear"/>
        <w:spacing w:after="200" w:line="276" w:lineRule="auto"/>
        <w:rPr>
          <w:rFonts w:ascii="Lexend" w:cs="Lexend" w:eastAsia="Lexend" w:hAnsi="Lexend"/>
        </w:rPr>
      </w:pPr>
      <w:r w:rsidDel="00000000" w:rsidR="00000000" w:rsidRPr="00000000">
        <w:rPr>
          <w:rFonts w:ascii="Lexend" w:cs="Lexend" w:eastAsia="Lexend" w:hAnsi="Lexend"/>
          <w:color w:val="ffffff"/>
          <w:sz w:val="28"/>
          <w:szCs w:val="28"/>
          <w:rtl w:val="0"/>
        </w:rPr>
        <w:t xml:space="preserve">Richard, Duke of York becomes Protector</w:t>
      </w:r>
      <w:r w:rsidDel="00000000" w:rsidR="00000000" w:rsidRPr="00000000">
        <w:rPr>
          <w:rtl w:val="0"/>
        </w:rPr>
      </w:r>
    </w:p>
    <w:p w:rsidR="00000000" w:rsidDel="00000000" w:rsidP="00000000" w:rsidRDefault="00000000" w:rsidRPr="00000000" w14:paraId="0000000C">
      <w:pPr>
        <w:spacing w:after="200" w:line="276" w:lineRule="auto"/>
        <w:rPr>
          <w:rFonts w:ascii="Lexend" w:cs="Lexend" w:eastAsia="Lexend" w:hAnsi="Lexend"/>
          <w:b w:val="1"/>
          <w:sz w:val="36"/>
          <w:szCs w:val="36"/>
        </w:rPr>
      </w:pPr>
      <w:r w:rsidDel="00000000" w:rsidR="00000000" w:rsidRPr="00000000">
        <w:rPr>
          <w:rFonts w:ascii="Lexend" w:cs="Lexend" w:eastAsia="Lexend" w:hAnsi="Lexend"/>
          <w:b w:val="1"/>
          <w:highlight w:val="white"/>
          <w:rtl w:val="0"/>
        </w:rPr>
        <w:t xml:space="preserve"> B</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20637</wp:posOffset>
            </wp:positionV>
            <wp:extent cx="357039" cy="229525"/>
            <wp:effectExtent b="0" l="0" r="0" t="0"/>
            <wp:wrapNone/>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7039" cy="229525"/>
                    </a:xfrm>
                    <a:prstGeom prst="rect"/>
                    <a:ln/>
                  </pic:spPr>
                </pic:pic>
              </a:graphicData>
            </a:graphic>
          </wp:anchor>
        </w:drawing>
      </w:r>
    </w:p>
    <w:p w:rsidR="00000000" w:rsidDel="00000000" w:rsidP="00000000" w:rsidRDefault="00000000" w:rsidRPr="00000000" w14:paraId="0000000D">
      <w:pPr>
        <w:spacing w:line="276"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The failure of the war against France made Henry VI’s mental health much worse and for months he was unable to rule England. In March 1454, parliament chose a relative from the York side of the family to be ‘Protector’ of England until the king was able to recover. Richard, Duke of York, was an ambitious man and his opportunity to rule in place of the king gave him a chance to show that he was a better alternative to Henry. York was a much stronger leader than Henry and England was relatively stable under his governance. As a result, he had a number of supporters. However, York was quite likely acting in his own interests and many nobles did not fully trust him. </w:t>
      </w:r>
    </w:p>
    <w:p w:rsidR="00000000" w:rsidDel="00000000" w:rsidP="00000000" w:rsidRDefault="00000000" w:rsidRPr="00000000" w14:paraId="0000000E">
      <w:pPr>
        <w:spacing w:line="276" w:lineRule="auto"/>
        <w:rPr>
          <w:rFonts w:ascii="Lexend" w:cs="Lexend" w:eastAsia="Lexend" w:hAnsi="Lexend"/>
          <w:highlight w:val="white"/>
        </w:rPr>
      </w:pPr>
      <w:r w:rsidDel="00000000" w:rsidR="00000000" w:rsidRPr="00000000">
        <w:rPr>
          <w:rtl w:val="0"/>
        </w:rPr>
      </w:r>
    </w:p>
    <w:p w:rsidR="00000000" w:rsidDel="00000000" w:rsidP="00000000" w:rsidRDefault="00000000" w:rsidRPr="00000000" w14:paraId="0000000F">
      <w:pPr>
        <w:spacing w:after="200" w:line="276"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By December 1454, Henry VI had recovered sufficiently to once again take control of England. Henry began to undo many of the decisions York had made and removed him from the government. Henry’s fear was that York would gain more support than him and be seen as a stronger leader, especially because of Henry’s failure to prove himself in battle and the loss of land under his rule. In contrast, York had shown impressive leadership skills - he was a clear threat to Henry. York realised that Henry would try to punish him and his supporters and so he started gathering troops to confront the king and try to regain his power. </w:t>
      </w:r>
      <w:r w:rsidDel="00000000" w:rsidR="00000000" w:rsidRPr="00000000">
        <w:rPr>
          <w:rtl w:val="0"/>
        </w:rPr>
      </w:r>
    </w:p>
    <w:p w:rsidR="00000000" w:rsidDel="00000000" w:rsidP="00000000" w:rsidRDefault="00000000" w:rsidRPr="00000000" w14:paraId="00000010">
      <w:pPr>
        <w:widowControl w:val="0"/>
        <w:pBdr>
          <w:top w:color="auto" w:space="1" w:sz="0" w:val="none"/>
          <w:left w:color="auto" w:space="1" w:sz="0" w:val="none"/>
          <w:bottom w:color="auto" w:space="1" w:sz="0" w:val="none"/>
          <w:right w:color="auto" w:space="1" w:sz="0" w:val="none"/>
        </w:pBdr>
        <w:shd w:fill="0000ff" w:val="clear"/>
        <w:spacing w:after="200" w:line="276" w:lineRule="auto"/>
        <w:rPr>
          <w:rFonts w:ascii="Lexend" w:cs="Lexend" w:eastAsia="Lexend" w:hAnsi="Lexend"/>
          <w:highlight w:val="white"/>
        </w:rPr>
      </w:pPr>
      <w:r w:rsidDel="00000000" w:rsidR="00000000" w:rsidRPr="00000000">
        <w:rPr>
          <w:rFonts w:ascii="Lexend" w:cs="Lexend" w:eastAsia="Lexend" w:hAnsi="Lexend"/>
          <w:color w:val="ffffff"/>
          <w:sz w:val="28"/>
          <w:szCs w:val="28"/>
          <w:rtl w:val="0"/>
        </w:rPr>
        <w:t xml:space="preserve">The Battle of St Albans</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390525</wp:posOffset>
            </wp:positionV>
            <wp:extent cx="357039" cy="229525"/>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7039" cy="229525"/>
                    </a:xfrm>
                    <a:prstGeom prst="rect"/>
                    <a:ln/>
                  </pic:spPr>
                </pic:pic>
              </a:graphicData>
            </a:graphic>
          </wp:anchor>
        </w:drawing>
      </w:r>
    </w:p>
    <w:p w:rsidR="00000000" w:rsidDel="00000000" w:rsidP="00000000" w:rsidRDefault="00000000" w:rsidRPr="00000000" w14:paraId="00000011">
      <w:pPr>
        <w:spacing w:after="200" w:line="276" w:lineRule="auto"/>
        <w:rPr>
          <w:rFonts w:ascii="Lexend" w:cs="Lexend" w:eastAsia="Lexend" w:hAnsi="Lexend"/>
          <w:b w:val="1"/>
          <w:highlight w:val="white"/>
        </w:rPr>
      </w:pPr>
      <w:r w:rsidDel="00000000" w:rsidR="00000000" w:rsidRPr="00000000">
        <w:rPr>
          <w:rFonts w:ascii="Lexend" w:cs="Lexend" w:eastAsia="Lexend" w:hAnsi="Lexend"/>
          <w:highlight w:val="white"/>
          <w:rtl w:val="0"/>
        </w:rPr>
        <w:t xml:space="preserve"> </w:t>
      </w:r>
      <w:r w:rsidDel="00000000" w:rsidR="00000000" w:rsidRPr="00000000">
        <w:rPr>
          <w:rFonts w:ascii="Lexend" w:cs="Lexend" w:eastAsia="Lexend" w:hAnsi="Lexend"/>
          <w:b w:val="1"/>
          <w:highlight w:val="white"/>
          <w:rtl w:val="0"/>
        </w:rPr>
        <w:t xml:space="preserve">C</w:t>
      </w:r>
    </w:p>
    <w:p w:rsidR="00000000" w:rsidDel="00000000" w:rsidP="00000000" w:rsidRDefault="00000000" w:rsidRPr="00000000" w14:paraId="00000012">
      <w:pPr>
        <w:spacing w:line="276" w:lineRule="auto"/>
        <w:rPr>
          <w:rFonts w:ascii="Lexend" w:cs="Lexend" w:eastAsia="Lexend" w:hAnsi="Lexend"/>
          <w:highlight w:val="white"/>
        </w:rPr>
      </w:pPr>
      <w:r w:rsidDel="00000000" w:rsidR="00000000" w:rsidRPr="00000000">
        <w:rPr>
          <w:rFonts w:ascii="Lexend" w:cs="Lexend" w:eastAsia="Lexend" w:hAnsi="Lexend"/>
          <w:highlight w:val="white"/>
          <w:rtl w:val="0"/>
        </w:rPr>
        <w:t xml:space="preserve">In May 1455, the armies of Henry VI and Richard, Duke of York, met at St Albans. This was the first battle of the Wars of the Roses. The battle only lasted half an hour and there were relatively few casualties as it was a decisive victory for York and his men. The defeat of Henry meant that York was once again ‘Protector’ of England and Henry was forced into hiding. The Battle of St Albans was the start of a struggle between the </w:t>
      </w:r>
      <w:r w:rsidDel="00000000" w:rsidR="00000000" w:rsidRPr="00000000">
        <w:rPr>
          <w:rFonts w:ascii="Lexend" w:cs="Lexend" w:eastAsia="Lexend" w:hAnsi="Lexend"/>
          <w:b w:val="1"/>
          <w:highlight w:val="white"/>
          <w:rtl w:val="0"/>
        </w:rPr>
        <w:t xml:space="preserve">House</w:t>
      </w:r>
      <w:r w:rsidDel="00000000" w:rsidR="00000000" w:rsidRPr="00000000">
        <w:rPr>
          <w:rFonts w:ascii="Lexend" w:cs="Lexend" w:eastAsia="Lexend" w:hAnsi="Lexend"/>
          <w:highlight w:val="white"/>
          <w:rtl w:val="0"/>
        </w:rPr>
        <w:t xml:space="preserve"> of York and the </w:t>
      </w:r>
      <w:r w:rsidDel="00000000" w:rsidR="00000000" w:rsidRPr="00000000">
        <w:rPr>
          <w:rFonts w:ascii="Lexend" w:cs="Lexend" w:eastAsia="Lexend" w:hAnsi="Lexend"/>
          <w:b w:val="1"/>
          <w:highlight w:val="white"/>
          <w:rtl w:val="0"/>
        </w:rPr>
        <w:t xml:space="preserve">House</w:t>
      </w:r>
      <w:r w:rsidDel="00000000" w:rsidR="00000000" w:rsidRPr="00000000">
        <w:rPr>
          <w:rFonts w:ascii="Lexend" w:cs="Lexend" w:eastAsia="Lexend" w:hAnsi="Lexend"/>
          <w:highlight w:val="white"/>
          <w:rtl w:val="0"/>
        </w:rPr>
        <w:t xml:space="preserve"> of Lancaster which would last for thirty years. During this time, England was very unstable as many more battles were fought between the warring sides of the family; both were determined that it was their side which should have full control over England.</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700.7874015748032"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Lexend Medium">
    <w:embedRegular w:fontKey="{00000000-0000-0000-0000-000000000000}" r:id="rId5" w:subsetted="0"/>
    <w:embedBold w:fontKey="{00000000-0000-0000-0000-000000000000}" r:id="rId6" w:subsetted="0"/>
  </w:font>
  <w:font w:name="Lexend">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rFonts w:ascii="Lexend" w:cs="Lexend" w:eastAsia="Lexend" w:hAnsi="Lexend"/>
        <w:color w:val="575756"/>
        <w:sz w:val="18"/>
        <w:szCs w:val="18"/>
      </w:rPr>
    </w:pPr>
    <w:r w:rsidDel="00000000" w:rsidR="00000000" w:rsidRPr="00000000">
      <w:rPr>
        <w:rtl w:val="0"/>
      </w:rPr>
    </w:r>
  </w:p>
  <w:tbl>
    <w:tblPr>
      <w:tblStyle w:val="Table3"/>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86.923925027564"/>
      <w:gridCol w:w="423.0760749724368"/>
      <w:gridCol w:w="360"/>
      <w:tblGridChange w:id="0">
        <w:tblGrid>
          <w:gridCol w:w="9686.923925027564"/>
          <w:gridCol w:w="423.0760749724368"/>
          <w:gridCol w:w="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5">
          <w:pPr>
            <w:widowControl w:val="0"/>
            <w:spacing w:line="276" w:lineRule="auto"/>
            <w:rPr>
              <w:color w:val="575756"/>
              <w:sz w:val="18"/>
              <w:szCs w:val="18"/>
            </w:rPr>
          </w:pPr>
          <w:r w:rsidDel="00000000" w:rsidR="00000000" w:rsidRPr="00000000">
            <w:rPr>
              <w:rFonts w:ascii="Lexend" w:cs="Lexend" w:eastAsia="Lexend" w:hAnsi="Lexend"/>
              <w:b w:val="1"/>
              <w:color w:val="575756"/>
              <w:sz w:val="18"/>
              <w:szCs w:val="18"/>
              <w:rtl w:val="0"/>
            </w:rPr>
            <w:t xml:space="preserve">© Oak National Academy 2024</w:t>
          </w:r>
          <w:r w:rsidDel="00000000" w:rsidR="00000000" w:rsidRPr="00000000">
            <w:rPr>
              <w:color w:val="575756"/>
              <w:sz w:val="18"/>
              <w:szCs w:val="18"/>
              <w:rtl w:val="0"/>
            </w:rPr>
            <w:t xml:space="preserve">. Produced in partnership with Future Academies Trust. </w:t>
          </w:r>
        </w:p>
        <w:p w:rsidR="00000000" w:rsidDel="00000000" w:rsidP="00000000" w:rsidRDefault="00000000" w:rsidRPr="00000000" w14:paraId="00000026">
          <w:pPr>
            <w:widowControl w:val="0"/>
            <w:spacing w:line="276" w:lineRule="auto"/>
            <w:rPr>
              <w:color w:val="575756"/>
              <w:sz w:val="18"/>
              <w:szCs w:val="18"/>
            </w:rPr>
          </w:pPr>
          <w:r w:rsidDel="00000000" w:rsidR="00000000" w:rsidRPr="00000000">
            <w:rPr>
              <w:color w:val="575756"/>
              <w:sz w:val="18"/>
              <w:szCs w:val="18"/>
              <w:rtl w:val="0"/>
            </w:rPr>
            <w:t xml:space="preserve">Licensed on the </w:t>
          </w:r>
          <w:hyperlink r:id="rId1">
            <w:r w:rsidDel="00000000" w:rsidR="00000000" w:rsidRPr="00000000">
              <w:rPr>
                <w:color w:val="575756"/>
                <w:sz w:val="18"/>
                <w:szCs w:val="18"/>
                <w:u w:val="single"/>
                <w:rtl w:val="0"/>
              </w:rPr>
              <w:t xml:space="preserve">Open Government Licence v3.0</w:t>
            </w:r>
          </w:hyperlink>
          <w:r w:rsidDel="00000000" w:rsidR="00000000" w:rsidRPr="00000000">
            <w:rPr>
              <w:color w:val="575756"/>
              <w:sz w:val="18"/>
              <w:szCs w:val="18"/>
              <w:rtl w:val="0"/>
            </w:rPr>
            <w:t xml:space="preserve">, except where otherwise stated. See </w:t>
          </w:r>
          <w:hyperlink r:id="rId2">
            <w:r w:rsidDel="00000000" w:rsidR="00000000" w:rsidRPr="00000000">
              <w:rPr>
                <w:color w:val="575756"/>
                <w:sz w:val="18"/>
                <w:szCs w:val="18"/>
                <w:u w:val="single"/>
                <w:rtl w:val="0"/>
              </w:rPr>
              <w:t xml:space="preserve">Oak terms &amp; conditions</w:t>
            </w:r>
          </w:hyperlink>
          <w:r w:rsidDel="00000000" w:rsidR="00000000" w:rsidRPr="00000000">
            <w:rPr>
              <w:color w:val="575756"/>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7">
          <w:pPr>
            <w:rPr>
              <w:rFonts w:ascii="Lexend" w:cs="Lexend" w:eastAsia="Lexend" w:hAnsi="Lexend"/>
              <w:color w:val="575756"/>
              <w:sz w:val="18"/>
              <w:szCs w:val="18"/>
            </w:rPr>
          </w:pPr>
          <w:r w:rsidDel="00000000" w:rsidR="00000000" w:rsidRPr="00000000">
            <w:rPr>
              <w:rFonts w:ascii="Lexend" w:cs="Lexend" w:eastAsia="Lexend" w:hAnsi="Lexend"/>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8">
          <w:pPr>
            <w:jc w:val="right"/>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172815" cy="241941"/>
                <wp:effectExtent b="0" l="0" r="0" t="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72815" cy="2419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jc w:val="left"/>
      <w:rPr>
        <w:rFonts w:ascii="Lexend SemiBold" w:cs="Lexend SemiBold" w:eastAsia="Lexend SemiBold" w:hAnsi="Lexend SemiBold"/>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rFonts w:ascii="Lexend" w:cs="Lexend" w:eastAsia="Lexend" w:hAnsi="Lexend"/>
        <w:color w:val="575756"/>
        <w:sz w:val="18"/>
        <w:szCs w:val="18"/>
      </w:rPr>
    </w:pPr>
    <w:r w:rsidDel="00000000" w:rsidR="00000000" w:rsidRPr="00000000">
      <w:rPr>
        <w:rtl w:val="0"/>
      </w:rPr>
    </w:r>
  </w:p>
  <w:tbl>
    <w:tblPr>
      <w:tblStyle w:val="Table4"/>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86.923925027564"/>
      <w:gridCol w:w="423.0760749724368"/>
      <w:gridCol w:w="360"/>
      <w:tblGridChange w:id="0">
        <w:tblGrid>
          <w:gridCol w:w="9686.923925027564"/>
          <w:gridCol w:w="423.0760749724368"/>
          <w:gridCol w:w="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B">
          <w:pPr>
            <w:widowControl w:val="0"/>
            <w:spacing w:line="276" w:lineRule="auto"/>
            <w:rPr>
              <w:color w:val="575756"/>
              <w:sz w:val="18"/>
              <w:szCs w:val="18"/>
            </w:rPr>
          </w:pPr>
          <w:r w:rsidDel="00000000" w:rsidR="00000000" w:rsidRPr="00000000">
            <w:rPr>
              <w:rFonts w:ascii="Lexend" w:cs="Lexend" w:eastAsia="Lexend" w:hAnsi="Lexend"/>
              <w:b w:val="1"/>
              <w:color w:val="575756"/>
              <w:sz w:val="18"/>
              <w:szCs w:val="18"/>
              <w:rtl w:val="0"/>
            </w:rPr>
            <w:t xml:space="preserve">© Oak National Academy 2024</w:t>
          </w:r>
          <w:r w:rsidDel="00000000" w:rsidR="00000000" w:rsidRPr="00000000">
            <w:rPr>
              <w:color w:val="575756"/>
              <w:sz w:val="18"/>
              <w:szCs w:val="18"/>
              <w:rtl w:val="0"/>
            </w:rPr>
            <w:t xml:space="preserve">. Produced in partnership with Future Academies Trust. </w:t>
          </w:r>
        </w:p>
        <w:p w:rsidR="00000000" w:rsidDel="00000000" w:rsidP="00000000" w:rsidRDefault="00000000" w:rsidRPr="00000000" w14:paraId="0000002C">
          <w:pPr>
            <w:widowControl w:val="0"/>
            <w:spacing w:line="276" w:lineRule="auto"/>
            <w:rPr>
              <w:color w:val="575756"/>
              <w:sz w:val="18"/>
              <w:szCs w:val="18"/>
            </w:rPr>
          </w:pPr>
          <w:r w:rsidDel="00000000" w:rsidR="00000000" w:rsidRPr="00000000">
            <w:rPr>
              <w:color w:val="575756"/>
              <w:sz w:val="18"/>
              <w:szCs w:val="18"/>
              <w:rtl w:val="0"/>
            </w:rPr>
            <w:t xml:space="preserve">Licensed on the </w:t>
          </w:r>
          <w:hyperlink r:id="rId1">
            <w:r w:rsidDel="00000000" w:rsidR="00000000" w:rsidRPr="00000000">
              <w:rPr>
                <w:color w:val="575756"/>
                <w:sz w:val="18"/>
                <w:szCs w:val="18"/>
                <w:u w:val="single"/>
                <w:rtl w:val="0"/>
              </w:rPr>
              <w:t xml:space="preserve">Open Government Licence v3.0</w:t>
            </w:r>
          </w:hyperlink>
          <w:r w:rsidDel="00000000" w:rsidR="00000000" w:rsidRPr="00000000">
            <w:rPr>
              <w:color w:val="575756"/>
              <w:sz w:val="18"/>
              <w:szCs w:val="18"/>
              <w:rtl w:val="0"/>
            </w:rPr>
            <w:t xml:space="preserve">, except where otherwise stated. See </w:t>
          </w:r>
          <w:hyperlink r:id="rId2">
            <w:r w:rsidDel="00000000" w:rsidR="00000000" w:rsidRPr="00000000">
              <w:rPr>
                <w:color w:val="575756"/>
                <w:sz w:val="18"/>
                <w:szCs w:val="18"/>
                <w:u w:val="single"/>
                <w:rtl w:val="0"/>
              </w:rPr>
              <w:t xml:space="preserve">Oak terms &amp; conditions</w:t>
            </w:r>
          </w:hyperlink>
          <w:r w:rsidDel="00000000" w:rsidR="00000000" w:rsidRPr="00000000">
            <w:rPr>
              <w:color w:val="575756"/>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D">
          <w:pPr>
            <w:rPr>
              <w:rFonts w:ascii="Lexend" w:cs="Lexend" w:eastAsia="Lexend" w:hAnsi="Lexend"/>
              <w:color w:val="575756"/>
              <w:sz w:val="18"/>
              <w:szCs w:val="18"/>
            </w:rPr>
          </w:pPr>
          <w:r w:rsidDel="00000000" w:rsidR="00000000" w:rsidRPr="00000000">
            <w:rPr>
              <w:rFonts w:ascii="Lexend" w:cs="Lexend" w:eastAsia="Lexend" w:hAnsi="Lexend"/>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E">
          <w:pPr>
            <w:jc w:val="right"/>
            <w:rPr>
              <w:rFonts w:ascii="Lexend Medium" w:cs="Lexend Medium" w:eastAsia="Lexend Medium" w:hAnsi="Lexend Medium"/>
            </w:rPr>
          </w:pPr>
          <w:r w:rsidDel="00000000" w:rsidR="00000000" w:rsidRPr="00000000">
            <w:rPr>
              <w:rFonts w:ascii="Lexend Medium" w:cs="Lexend Medium" w:eastAsia="Lexend Medium" w:hAnsi="Lexend Medium"/>
            </w:rPr>
            <w:drawing>
              <wp:inline distB="114300" distT="114300" distL="114300" distR="114300">
                <wp:extent cx="172815" cy="241941"/>
                <wp:effectExtent b="0" l="0" r="0" t="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72815" cy="2419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sz w:val="4"/>
        <w:szCs w:val="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Layout w:type="fixed"/>
      <w:tblLook w:val="0600"/>
    </w:tblPr>
    <w:tblGrid>
      <w:gridCol w:w="825"/>
      <w:gridCol w:w="5955"/>
      <w:gridCol w:w="1155"/>
      <w:gridCol w:w="2445"/>
      <w:tblGridChange w:id="0">
        <w:tblGrid>
          <w:gridCol w:w="825"/>
          <w:gridCol w:w="5955"/>
          <w:gridCol w:w="1155"/>
          <w:gridCol w:w="2445"/>
        </w:tblGrid>
      </w:tblGridChange>
    </w:tblGrid>
    <w:tr>
      <w:trPr>
        <w:cantSplit w:val="0"/>
        <w:trHeight w:val="1050" w:hRule="atLeast"/>
        <w:tblHeader w:val="0"/>
      </w:trPr>
      <w:tc>
        <w:tcPr>
          <w:gridSpan w:val="2"/>
          <w:tcMar>
            <w:top w:w="0.0" w:type="dxa"/>
            <w:left w:w="0.0" w:type="dxa"/>
            <w:bottom w:w="0.0" w:type="dxa"/>
            <w:right w:w="0.0" w:type="dxa"/>
          </w:tcMar>
          <w:vAlign w:val="center"/>
        </w:tcPr>
        <w:p w:rsidR="00000000" w:rsidDel="00000000" w:rsidP="00000000" w:rsidRDefault="00000000" w:rsidRPr="00000000" w14:paraId="00000015">
          <w:pPr>
            <w:pStyle w:val="Heading1"/>
            <w:spacing w:after="0" w:before="0" w:lineRule="auto"/>
            <w:rPr>
              <w:rFonts w:ascii="Lexend" w:cs="Lexend" w:eastAsia="Lexend" w:hAnsi="Lexend"/>
              <w:b w:val="1"/>
              <w:sz w:val="36"/>
              <w:szCs w:val="36"/>
            </w:rPr>
          </w:pPr>
          <w:bookmarkStart w:colFirst="0" w:colLast="0" w:name="_ky2wwodnd16p" w:id="0"/>
          <w:bookmarkEnd w:id="0"/>
          <w:r w:rsidDel="00000000" w:rsidR="00000000" w:rsidRPr="00000000">
            <w:rPr>
              <w:rFonts w:ascii="Lexend" w:cs="Lexend" w:eastAsia="Lexend" w:hAnsi="Lexend"/>
              <w:b w:val="1"/>
              <w:sz w:val="36"/>
              <w:szCs w:val="36"/>
              <w:rtl w:val="0"/>
            </w:rPr>
            <w:t xml:space="preserve">Henry VI and Richard of York</w:t>
          </w:r>
        </w:p>
      </w:tc>
      <w:tc>
        <w:tcPr>
          <w:tcMar>
            <w:top w:w="0.0" w:type="dxa"/>
            <w:left w:w="0.0" w:type="dxa"/>
            <w:bottom w:w="0.0" w:type="dxa"/>
            <w:right w:w="0.0" w:type="dxa"/>
          </w:tcMar>
          <w:vAlign w:val="center"/>
        </w:tcPr>
        <w:p w:rsidR="00000000" w:rsidDel="00000000" w:rsidP="00000000" w:rsidRDefault="00000000" w:rsidRPr="00000000" w14:paraId="00000017">
          <w:pPr>
            <w:widowControl w:val="0"/>
            <w:jc w:val="right"/>
            <w:rPr/>
          </w:pPr>
          <w:r w:rsidDel="00000000" w:rsidR="00000000" w:rsidRPr="00000000">
            <w:rPr/>
            <w:drawing>
              <wp:inline distB="114300" distT="114300" distL="114300" distR="114300">
                <wp:extent cx="504000" cy="504000"/>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4000" cy="504000"/>
                        </a:xfrm>
                        <a:prstGeom prst="rect"/>
                        <a:ln/>
                      </pic:spPr>
                    </pic:pic>
                  </a:graphicData>
                </a:graphic>
              </wp:inline>
            </w:drawing>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18">
          <w:pPr>
            <w:pStyle w:val="Heading1"/>
            <w:jc w:val="right"/>
            <w:rPr>
              <w:rFonts w:ascii="Lexend" w:cs="Lexend" w:eastAsia="Lexend" w:hAnsi="Lexend"/>
              <w:b w:val="1"/>
              <w:sz w:val="24"/>
              <w:szCs w:val="24"/>
            </w:rPr>
          </w:pPr>
          <w:bookmarkStart w:colFirst="0" w:colLast="0" w:name="_peun555hcvpw" w:id="2"/>
          <w:bookmarkEnd w:id="2"/>
          <w:r w:rsidDel="00000000" w:rsidR="00000000" w:rsidRPr="00000000">
            <w:rPr>
              <w:rFonts w:ascii="Lexend" w:cs="Lexend" w:eastAsia="Lexend" w:hAnsi="Lexend"/>
              <w:b w:val="1"/>
              <w:sz w:val="24"/>
              <w:szCs w:val="24"/>
              <w:rtl w:val="0"/>
            </w:rPr>
            <w:t xml:space="preserve">Additional material</w:t>
          </w:r>
        </w:p>
      </w:tc>
    </w:tr>
  </w:tbl>
  <w:p w:rsidR="00000000" w:rsidDel="00000000" w:rsidP="00000000" w:rsidRDefault="00000000" w:rsidRPr="00000000" w14:paraId="00000019">
    <w:pPr>
      <w:rPr>
        <w:sz w:val="4"/>
        <w:szCs w:val="4"/>
      </w:rPr>
    </w:pPr>
    <w:r w:rsidDel="00000000" w:rsidR="00000000" w:rsidRPr="00000000">
      <w:rPr>
        <w:sz w:val="4"/>
        <w:szCs w:val="4"/>
      </w:rPr>
      <w:drawing>
        <wp:inline distB="114300" distT="114300" distL="114300" distR="114300">
          <wp:extent cx="6645600" cy="63500"/>
          <wp:effectExtent b="0" l="0" r="0" t="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645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4"/>
        <w:szCs w:val="4"/>
      </w:rPr>
    </w:pPr>
    <w:r w:rsidDel="00000000" w:rsidR="00000000" w:rsidRPr="00000000">
      <w:rPr>
        <w:rtl w:val="0"/>
      </w:rPr>
    </w:r>
  </w:p>
  <w:p w:rsidR="00000000" w:rsidDel="00000000" w:rsidP="00000000" w:rsidRDefault="00000000" w:rsidRPr="00000000" w14:paraId="0000001B">
    <w:pPr>
      <w:rPr>
        <w:sz w:val="4"/>
        <w:szCs w:val="4"/>
      </w:rPr>
    </w:pPr>
    <w:r w:rsidDel="00000000" w:rsidR="00000000" w:rsidRPr="00000000">
      <w:rPr>
        <w:rtl w:val="0"/>
      </w:rPr>
    </w:r>
  </w:p>
  <w:p w:rsidR="00000000" w:rsidDel="00000000" w:rsidP="00000000" w:rsidRDefault="00000000" w:rsidRPr="00000000" w14:paraId="0000001C">
    <w:pPr>
      <w:rPr>
        <w:sz w:val="4"/>
        <w:szCs w:val="4"/>
      </w:rPr>
    </w:pPr>
    <w:r w:rsidDel="00000000" w:rsidR="00000000" w:rsidRPr="00000000">
      <w:rPr>
        <w:rtl w:val="0"/>
      </w:rPr>
    </w:r>
  </w:p>
  <w:p w:rsidR="00000000" w:rsidDel="00000000" w:rsidP="00000000" w:rsidRDefault="00000000" w:rsidRPr="00000000" w14:paraId="0000001D">
    <w:pPr>
      <w:jc w:val="right"/>
      <w:rPr>
        <w:color w:val="ffffff"/>
        <w:sz w:val="20"/>
        <w:szCs w:val="20"/>
      </w:rPr>
    </w:pPr>
    <w:r w:rsidDel="00000000" w:rsidR="00000000" w:rsidRPr="00000000">
      <w:rPr>
        <w:color w:val="ffffff"/>
        <w:sz w:val="20"/>
        <w:szCs w:val="20"/>
        <w:rtl w:val="0"/>
      </w:rPr>
      <w:t xml:space="preserve">v2.4</w:t>
    </w:r>
  </w:p>
  <w:p w:rsidR="00000000" w:rsidDel="00000000" w:rsidP="00000000" w:rsidRDefault="00000000" w:rsidRPr="00000000" w14:paraId="0000001E">
    <w:pPr>
      <w:jc w:val="right"/>
      <w:rPr>
        <w:sz w:val="4"/>
        <w:szCs w:val="4"/>
      </w:rPr>
    </w:pPr>
    <w:r w:rsidDel="00000000" w:rsidR="00000000" w:rsidRPr="00000000">
      <w:rPr>
        <w:rtl w:val="0"/>
      </w:rPr>
    </w:r>
  </w:p>
  <w:p w:rsidR="00000000" w:rsidDel="00000000" w:rsidP="00000000" w:rsidRDefault="00000000" w:rsidRPr="00000000" w14:paraId="0000001F">
    <w:pPr>
      <w:jc w:val="right"/>
      <w:rPr>
        <w:sz w:val="4"/>
        <w:szCs w:val="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sz w:val="18"/>
        <w:szCs w:val="18"/>
      </w:rPr>
    </w:pP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4.889746416758"/>
      <w:gridCol w:w="1835.1102535832415"/>
      <w:tblGridChange w:id="0">
        <w:tblGrid>
          <w:gridCol w:w="8604.889746416758"/>
          <w:gridCol w:w="1835.1102535832415"/>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Henry VI and Richard of York</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2">
          <w:pPr>
            <w:widowControl w:val="0"/>
            <w:jc w:val="right"/>
            <w:rPr>
              <w:rFonts w:ascii="Lexend" w:cs="Lexend" w:eastAsia="Lexend" w:hAnsi="Lexend"/>
              <w:b w:val="1"/>
              <w:sz w:val="18"/>
              <w:szCs w:val="18"/>
            </w:rPr>
          </w:pPr>
          <w:r w:rsidDel="00000000" w:rsidR="00000000" w:rsidRPr="00000000">
            <w:rPr>
              <w:rFonts w:ascii="Lexend" w:cs="Lexend" w:eastAsia="Lexend" w:hAnsi="Lexend"/>
              <w:b w:val="1"/>
              <w:sz w:val="18"/>
              <w:szCs w:val="18"/>
              <w:rtl w:val="0"/>
            </w:rPr>
            <w:t xml:space="preserve">Additional material</w:t>
          </w:r>
        </w:p>
      </w:tc>
    </w:tr>
  </w:tbl>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4"/>
        <w:szCs w:val="24"/>
        <w:lang w:val="en_GB"/>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360" w:before="240" w:lineRule="auto"/>
    </w:pPr>
    <w:rPr>
      <w:rFonts w:ascii="Lexend SemiBold" w:cs="Lexend SemiBold" w:eastAsia="Lexend SemiBold" w:hAnsi="Lexend SemiBold"/>
      <w:sz w:val="48"/>
      <w:szCs w:val="48"/>
    </w:rPr>
  </w:style>
  <w:style w:type="paragraph" w:styleId="Heading2">
    <w:name w:val="heading 2"/>
    <w:basedOn w:val="Normal"/>
    <w:next w:val="Normal"/>
    <w:pPr>
      <w:keepNext w:val="1"/>
      <w:keepLines w:val="1"/>
      <w:spacing w:before="320" w:lineRule="auto"/>
    </w:pPr>
    <w:rPr>
      <w:rFonts w:ascii="Lexend SemiBold" w:cs="Lexend SemiBold" w:eastAsia="Lexend SemiBold" w:hAnsi="Lexend SemiBold"/>
      <w:sz w:val="32"/>
      <w:szCs w:val="32"/>
    </w:rPr>
  </w:style>
  <w:style w:type="paragraph" w:styleId="Heading3">
    <w:name w:val="heading 3"/>
    <w:basedOn w:val="Normal"/>
    <w:next w:val="Normal"/>
    <w:pPr>
      <w:keepNext w:val="1"/>
      <w:keepLines w:val="1"/>
      <w:spacing w:before="320" w:lineRule="auto"/>
    </w:pPr>
    <w:rPr>
      <w:rFonts w:ascii="Lexend SemiBold" w:cs="Lexend SemiBold" w:eastAsia="Lexend SemiBold" w:hAnsi="Lexend SemiBold"/>
    </w:rPr>
  </w:style>
  <w:style w:type="paragraph" w:styleId="Heading4">
    <w:name w:val="heading 4"/>
    <w:basedOn w:val="Normal"/>
    <w:next w:val="Normal"/>
    <w:pPr>
      <w:keepNext w:val="1"/>
      <w:keepLines w:val="1"/>
      <w:spacing w:before="320" w:lineRule="auto"/>
    </w:pPr>
    <w:rPr>
      <w:rFonts w:ascii="Lexend SemiBold" w:cs="Lexend SemiBold" w:eastAsia="Lexend SemiBold" w:hAnsi="Lexend SemiBold"/>
    </w:rPr>
  </w:style>
  <w:style w:type="paragraph" w:styleId="Heading5">
    <w:name w:val="heading 5"/>
    <w:basedOn w:val="Normal"/>
    <w:next w:val="Normal"/>
    <w:pPr>
      <w:keepNext w:val="1"/>
      <w:keepLines w:val="1"/>
      <w:spacing w:after="320" w:before="320" w:lineRule="auto"/>
    </w:pPr>
    <w:rPr>
      <w:sz w:val="32"/>
      <w:szCs w:val="3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320" w:lineRule="auto"/>
    </w:pPr>
    <w:rPr>
      <w:rFonts w:ascii="Lexend SemiBold" w:cs="Lexend SemiBold" w:eastAsia="Lexend SemiBold" w:hAnsi="Lexend SemiBold"/>
      <w:sz w:val="90"/>
      <w:szCs w:val="90"/>
    </w:rPr>
  </w:style>
  <w:style w:type="paragraph" w:styleId="Subtitle">
    <w:name w:val="Subtitle"/>
    <w:basedOn w:val="Normal"/>
    <w:next w:val="Normal"/>
    <w:pPr>
      <w:keepNext w:val="1"/>
      <w:keepLines w:val="1"/>
    </w:pPr>
    <w:rPr>
      <w:sz w:val="48"/>
      <w:szCs w:val="48"/>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5" Type="http://schemas.openxmlformats.org/officeDocument/2006/relationships/font" Target="fonts/LexendMedium-regular.ttf"/><Relationship Id="rId6" Type="http://schemas.openxmlformats.org/officeDocument/2006/relationships/font" Target="fonts/LexendMedium-bold.ttf"/><Relationship Id="rId7" Type="http://schemas.openxmlformats.org/officeDocument/2006/relationships/font" Target="fonts/Lexend-regular.ttf"/><Relationship Id="rId8" Type="http://schemas.openxmlformats.org/officeDocument/2006/relationships/font" Target="fonts/Lexend-bold.ttf"/></Relationships>
</file>

<file path=word/_rels/footer1.xml.rels><?xml version="1.0" encoding="UTF-8" standalone="yes"?><Relationships xmlns="http://schemas.openxmlformats.org/package/2006/relationships"><Relationship Id="rId1" Type="http://schemas.openxmlformats.org/officeDocument/2006/relationships/hyperlink" Target="https://www.nationalarchives.gov.uk/doc/open-government-licence/version/3/" TargetMode="External"/><Relationship Id="rId2" Type="http://schemas.openxmlformats.org/officeDocument/2006/relationships/hyperlink" Target="https://www.thenational.academy/legal/terms-and-conditions" TargetMode="External"/><Relationship Id="rId3"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nationalarchives.gov.uk/doc/open-government-licence/version/3/" TargetMode="External"/><Relationship Id="rId2" Type="http://schemas.openxmlformats.org/officeDocument/2006/relationships/hyperlink" Target="https://www.thenational.academy/legal/terms-and-conditions" TargetMode="External"/><Relationship Id="rId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