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This course examines the science, art and practice of information visualization. Emphasis is placed on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critically discuss information visualizations in light of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Software is licensed by Pratt, or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students are expected to contribute a visualization critique in which they find and evaluate a data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due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due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36690A1C"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 xml:space="preserve">: </w:t>
            </w:r>
            <w:r w:rsidRPr="00EE3713">
              <w:rPr>
                <w:rFonts w:eastAsia="Times New Roman"/>
                <w:color w:val="000000"/>
                <w:sz w:val="20"/>
                <w:szCs w:val="20"/>
              </w:rPr>
              <w:t>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0A42124B"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w:t>
            </w:r>
            <w:r w:rsidR="002A00F4">
              <w:rPr>
                <w:sz w:val="20"/>
                <w:szCs w:val="20"/>
              </w:rPr>
              <w:t>,</w:t>
            </w:r>
            <w:r w:rsidRPr="00EE3713">
              <w:rPr>
                <w:sz w:val="20"/>
                <w:szCs w:val="20"/>
              </w:rPr>
              <w:t xml:space="preserve">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32BEFC51"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4F340E83" w14:textId="77777777" w:rsidR="00340848" w:rsidRDefault="00340848" w:rsidP="00E25872">
            <w:pPr>
              <w:spacing w:line="240" w:lineRule="auto"/>
              <w:contextualSpacing/>
              <w:rPr>
                <w:rFonts w:eastAsia="Times New Roman"/>
                <w:color w:val="000000"/>
                <w:sz w:val="20"/>
                <w:szCs w:val="20"/>
              </w:rPr>
            </w:pPr>
          </w:p>
          <w:p w14:paraId="448D3497" w14:textId="2DB64538" w:rsidR="0098097D" w:rsidRPr="00EE3713" w:rsidRDefault="00340848" w:rsidP="00E25872">
            <w:pPr>
              <w:spacing w:line="240" w:lineRule="auto"/>
              <w:contextualSpacing/>
              <w:rPr>
                <w:rFonts w:eastAsia="Times New Roman"/>
                <w:color w:val="000000"/>
                <w:sz w:val="20"/>
                <w:szCs w:val="20"/>
              </w:rPr>
            </w:pPr>
            <w:r>
              <w:rPr>
                <w:rFonts w:eastAsia="Times New Roman"/>
                <w:color w:val="000000"/>
                <w:sz w:val="20"/>
                <w:szCs w:val="20"/>
              </w:rPr>
              <w:t>W</w:t>
            </w:r>
            <w:r w:rsidR="0098097D" w:rsidRPr="00EE3713">
              <w:rPr>
                <w:rFonts w:eastAsia="Times New Roman"/>
                <w:color w:val="000000"/>
                <w:sz w:val="20"/>
                <w:szCs w:val="20"/>
              </w:rPr>
              <w:t>orkshop: Datawrapper pt. 1</w:t>
            </w:r>
          </w:p>
        </w:tc>
        <w:tc>
          <w:tcPr>
            <w:tcW w:w="2493" w:type="dxa"/>
            <w:noWrap/>
            <w:vAlign w:val="bottom"/>
            <w:hideMark/>
          </w:tcPr>
          <w:p w14:paraId="6CB40675" w14:textId="25C6EFDA"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6</w:t>
            </w:r>
            <w:r w:rsidR="0053340B">
              <w:rPr>
                <w:rFonts w:eastAsia="Times New Roman"/>
                <w:sz w:val="20"/>
                <w:szCs w:val="20"/>
              </w:rPr>
              <w:t xml:space="preserve">, </w:t>
            </w:r>
            <w:r w:rsidRPr="00EE3713">
              <w:rPr>
                <w:rFonts w:eastAsia="Times New Roman"/>
                <w:sz w:val="20"/>
                <w:szCs w:val="20"/>
              </w:rPr>
              <w:t>7</w:t>
            </w:r>
            <w:r w:rsidR="0053340B">
              <w:rPr>
                <w:rFonts w:eastAsia="Times New Roman"/>
                <w:sz w:val="20"/>
                <w:szCs w:val="20"/>
              </w:rPr>
              <w:t>, and 9</w:t>
            </w:r>
          </w:p>
          <w:p w14:paraId="595D9664" w14:textId="77777777" w:rsidR="00340848" w:rsidRDefault="00340848" w:rsidP="00E25872">
            <w:pPr>
              <w:spacing w:line="240" w:lineRule="auto"/>
              <w:contextualSpacing/>
              <w:rPr>
                <w:rFonts w:eastAsia="Times New Roman"/>
                <w:sz w:val="20"/>
                <w:szCs w:val="20"/>
              </w:rPr>
            </w:pPr>
          </w:p>
          <w:p w14:paraId="509FF128" w14:textId="499624BE" w:rsidR="00B6081E" w:rsidRDefault="00B6081E" w:rsidP="00E25872">
            <w:pPr>
              <w:spacing w:line="240" w:lineRule="auto"/>
              <w:contextualSpacing/>
              <w:rPr>
                <w:rFonts w:eastAsia="Times New Roman"/>
                <w:sz w:val="20"/>
                <w:szCs w:val="20"/>
              </w:rPr>
            </w:pPr>
            <w:hyperlink r:id="rId10" w:history="1">
              <w:r w:rsidRPr="00B6081E">
                <w:rPr>
                  <w:rStyle w:val="Hyperlink"/>
                  <w:rFonts w:eastAsia="Times New Roman"/>
                  <w:sz w:val="20"/>
                  <w:szCs w:val="20"/>
                </w:rPr>
                <w:t>What Makes the Difference in a Stacked Bar Chart?</w:t>
              </w:r>
            </w:hyperlink>
          </w:p>
          <w:p w14:paraId="41FBE97E" w14:textId="77777777" w:rsidR="00340848" w:rsidRDefault="00340848" w:rsidP="00E25872">
            <w:pPr>
              <w:spacing w:line="240" w:lineRule="auto"/>
              <w:contextualSpacing/>
              <w:rPr>
                <w:rFonts w:eastAsia="Times New Roman"/>
                <w:sz w:val="20"/>
                <w:szCs w:val="20"/>
              </w:rPr>
            </w:pPr>
          </w:p>
          <w:p w14:paraId="78276B5B" w14:textId="399D7121" w:rsidR="00B6081E" w:rsidRPr="00EE3713" w:rsidRDefault="00340848" w:rsidP="00E25872">
            <w:pPr>
              <w:spacing w:line="240" w:lineRule="auto"/>
              <w:contextualSpacing/>
              <w:rPr>
                <w:rFonts w:eastAsia="Times New Roman"/>
                <w:sz w:val="20"/>
                <w:szCs w:val="20"/>
              </w:rPr>
            </w:pPr>
            <w:hyperlink r:id="rId11" w:history="1">
              <w:r w:rsidRPr="00340848">
                <w:rPr>
                  <w:rStyle w:val="Hyperlink"/>
                  <w:rFonts w:eastAsia="Times New Roman"/>
                  <w:sz w:val="20"/>
                  <w:szCs w:val="20"/>
                </w:rPr>
                <w:t>Rethinking Bar Chart Order</w:t>
              </w:r>
            </w:hyperlink>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Datawrapper pt 2</w:t>
            </w:r>
          </w:p>
        </w:tc>
        <w:tc>
          <w:tcPr>
            <w:tcW w:w="2493" w:type="dxa"/>
            <w:noWrap/>
            <w:vAlign w:val="bottom"/>
            <w:hideMark/>
          </w:tcPr>
          <w:p w14:paraId="612E38F2" w14:textId="77777777" w:rsidR="0098097D"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10, 11, and 12</w:t>
            </w:r>
          </w:p>
          <w:p w14:paraId="7FF3451A" w14:textId="77777777" w:rsidR="00F0676B" w:rsidRDefault="00F0676B" w:rsidP="00E25872">
            <w:pPr>
              <w:spacing w:line="240" w:lineRule="auto"/>
              <w:contextualSpacing/>
              <w:rPr>
                <w:rFonts w:eastAsia="Times New Roman"/>
                <w:sz w:val="20"/>
                <w:szCs w:val="20"/>
              </w:rPr>
            </w:pPr>
          </w:p>
          <w:p w14:paraId="0F95C338" w14:textId="111C6CDC" w:rsidR="00F0676B" w:rsidRPr="00EE3713" w:rsidRDefault="00F0676B" w:rsidP="00E25872">
            <w:pPr>
              <w:spacing w:line="240" w:lineRule="auto"/>
              <w:contextualSpacing/>
              <w:rPr>
                <w:rFonts w:eastAsia="Times New Roman"/>
                <w:sz w:val="20"/>
                <w:szCs w:val="20"/>
              </w:rPr>
            </w:pPr>
            <w:hyperlink r:id="rId12" w:history="1">
              <w:r w:rsidRPr="00F0676B">
                <w:rPr>
                  <w:rStyle w:val="Hyperlink"/>
                  <w:rFonts w:eastAsia="Times New Roman"/>
                  <w:sz w:val="20"/>
                  <w:szCs w:val="20"/>
                </w:rPr>
                <w:t>F-it, Let’s Use Pie Charts</w:t>
              </w:r>
            </w:hyperlink>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Tech check – Google Colab</w:t>
            </w:r>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6A2BE1BF"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616AF406" w:rsidR="0098097D" w:rsidRPr="00EE3713" w:rsidRDefault="00AD49F3" w:rsidP="00E25872">
            <w:pPr>
              <w:spacing w:line="240" w:lineRule="auto"/>
              <w:contextualSpacing/>
              <w:rPr>
                <w:rFonts w:eastAsia="Times New Roman"/>
                <w:sz w:val="20"/>
                <w:szCs w:val="20"/>
              </w:rPr>
            </w:pPr>
            <w:hyperlink r:id="rId13" w:history="1">
              <w:r w:rsidRPr="00AD49F3">
                <w:rPr>
                  <w:rStyle w:val="Hyperlink"/>
                  <w:rFonts w:eastAsia="Times New Roman"/>
                  <w:sz w:val="20"/>
                  <w:szCs w:val="20"/>
                </w:rPr>
                <w:t>Automate the Boring Stuff</w:t>
              </w:r>
            </w:hyperlink>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7FE88F5" w14:textId="77777777"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13 and 14</w:t>
            </w:r>
          </w:p>
          <w:p w14:paraId="7A015682" w14:textId="77777777" w:rsidR="009266AA" w:rsidRDefault="009266AA" w:rsidP="00E25872">
            <w:pPr>
              <w:spacing w:line="240" w:lineRule="auto"/>
              <w:contextualSpacing/>
              <w:rPr>
                <w:rFonts w:eastAsia="Times New Roman"/>
                <w:sz w:val="20"/>
                <w:szCs w:val="20"/>
              </w:rPr>
            </w:pPr>
          </w:p>
          <w:p w14:paraId="003FB2BD" w14:textId="036CA7D2" w:rsidR="009266AA" w:rsidRPr="00EE3713" w:rsidRDefault="009266AA" w:rsidP="00E25872">
            <w:pPr>
              <w:spacing w:line="240" w:lineRule="auto"/>
              <w:contextualSpacing/>
              <w:rPr>
                <w:rFonts w:eastAsia="Times New Roman"/>
                <w:sz w:val="20"/>
                <w:szCs w:val="20"/>
              </w:rPr>
            </w:pPr>
            <w:hyperlink r:id="rId14" w:history="1">
              <w:r w:rsidRPr="009266AA">
                <w:rPr>
                  <w:rStyle w:val="Hyperlink"/>
                  <w:rFonts w:eastAsia="Times New Roman"/>
                  <w:sz w:val="20"/>
                  <w:szCs w:val="20"/>
                </w:rPr>
                <w:t>On…Positioning the Vertical Axis</w:t>
              </w:r>
            </w:hyperlink>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Seaborn, MatplotLib, Scipy</w:t>
            </w:r>
          </w:p>
        </w:tc>
        <w:tc>
          <w:tcPr>
            <w:tcW w:w="2493" w:type="dxa"/>
            <w:noWrap/>
            <w:vAlign w:val="bottom"/>
            <w:hideMark/>
          </w:tcPr>
          <w:p w14:paraId="2A812EFC" w14:textId="1AB3F3C3"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16</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21D2E45F" w14:textId="0A77B905"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22</w:t>
            </w:r>
          </w:p>
          <w:p w14:paraId="1D7547F8" w14:textId="77777777" w:rsidR="00877037" w:rsidRDefault="00877037" w:rsidP="00E25872">
            <w:pPr>
              <w:spacing w:line="240" w:lineRule="auto"/>
              <w:contextualSpacing/>
              <w:rPr>
                <w:rFonts w:eastAsia="Times New Roman"/>
                <w:sz w:val="20"/>
                <w:szCs w:val="20"/>
              </w:rPr>
            </w:pPr>
          </w:p>
          <w:p w14:paraId="1B64D769" w14:textId="5557FA6D" w:rsidR="002920F7" w:rsidRPr="00EE3713" w:rsidRDefault="002920F7" w:rsidP="00E25872">
            <w:pPr>
              <w:spacing w:line="240" w:lineRule="auto"/>
              <w:contextualSpacing/>
              <w:rPr>
                <w:rFonts w:eastAsia="Times New Roman"/>
                <w:sz w:val="20"/>
                <w:szCs w:val="20"/>
              </w:rPr>
            </w:pPr>
            <w:hyperlink r:id="rId15" w:history="1">
              <w:r w:rsidRPr="002920F7">
                <w:rPr>
                  <w:rStyle w:val="Hyperlink"/>
                  <w:rFonts w:eastAsia="Times New Roman"/>
                  <w:sz w:val="20"/>
                  <w:szCs w:val="20"/>
                </w:rPr>
                <w:t>Three Things You Can do to Make Your Data Tables More Visual</w:t>
              </w:r>
            </w:hyperlink>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16EFB81D"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Plotly; Present </w:t>
            </w:r>
            <w:r w:rsidR="00C77DCE">
              <w:rPr>
                <w:rFonts w:eastAsia="Times New Roman"/>
                <w:color w:val="000000"/>
                <w:sz w:val="20"/>
                <w:szCs w:val="20"/>
              </w:rPr>
              <w:t>topics</w:t>
            </w:r>
            <w:r w:rsidRPr="00EE3713">
              <w:rPr>
                <w:rFonts w:eastAsia="Times New Roman"/>
                <w:color w:val="000000"/>
                <w:sz w:val="20"/>
                <w:szCs w:val="20"/>
              </w:rPr>
              <w:t xml:space="preserve">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Plotly, geopandas</w:t>
            </w:r>
          </w:p>
        </w:tc>
        <w:tc>
          <w:tcPr>
            <w:tcW w:w="2493" w:type="dxa"/>
            <w:noWrap/>
            <w:vAlign w:val="bottom"/>
            <w:hideMark/>
          </w:tcPr>
          <w:p w14:paraId="1ED2B5FA" w14:textId="77777777"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15</w:t>
            </w:r>
          </w:p>
          <w:p w14:paraId="45E49D63" w14:textId="77777777" w:rsidR="005A0322" w:rsidRDefault="005A0322" w:rsidP="00E25872">
            <w:pPr>
              <w:spacing w:line="240" w:lineRule="auto"/>
              <w:contextualSpacing/>
              <w:rPr>
                <w:rFonts w:eastAsia="Times New Roman"/>
                <w:sz w:val="20"/>
                <w:szCs w:val="20"/>
              </w:rPr>
            </w:pPr>
          </w:p>
          <w:p w14:paraId="447F0008" w14:textId="746E9BD6" w:rsidR="005A0322" w:rsidRPr="00EE3713" w:rsidRDefault="005A0322" w:rsidP="00E25872">
            <w:pPr>
              <w:spacing w:line="240" w:lineRule="auto"/>
              <w:contextualSpacing/>
              <w:rPr>
                <w:rFonts w:eastAsia="Times New Roman"/>
                <w:sz w:val="20"/>
                <w:szCs w:val="20"/>
              </w:rPr>
            </w:pPr>
            <w:hyperlink r:id="rId16" w:history="1">
              <w:r w:rsidRPr="005A0322">
                <w:rPr>
                  <w:rStyle w:val="Hyperlink"/>
                  <w:rFonts w:eastAsia="Times New Roman"/>
                  <w:sz w:val="20"/>
                  <w:szCs w:val="20"/>
                </w:rPr>
                <w:t>Towards a Better Way: The “Vignelli” Map at 50</w:t>
              </w:r>
            </w:hyperlink>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lastRenderedPageBreak/>
              <w:t>Workshop: Visualizing networks in Networkx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7">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8">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Academic integrity at Pratt means using your own and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lastRenderedPageBreak/>
        <w:t>The supplying or receiving of completed work including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The unauthorized supplying or receiving of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6FCD400E"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9">
        <w:r w:rsidR="00B947DB" w:rsidRPr="00977ECE">
          <w:rPr>
            <w:color w:val="1155CC"/>
            <w:u w:val="single"/>
          </w:rPr>
          <w:t xml:space="preserve">Statement on Artificial </w:t>
        </w:r>
        <w:r w:rsidR="00FB7FF1" w:rsidRPr="00977ECE">
          <w:rPr>
            <w:color w:val="1155CC"/>
            <w:u w:val="single"/>
          </w:rPr>
          <w:t>Intelligence</w:t>
        </w:r>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20">
        <w:r w:rsidR="00B947DB" w:rsidRPr="00977ECE">
          <w:rPr>
            <w:color w:val="1155CC"/>
            <w:u w:val="single"/>
          </w:rPr>
          <w:t xml:space="preserve">Academic Integrity </w:t>
        </w:r>
      </w:hyperlink>
      <w:hyperlink r:id="rId21">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as a result of absences, at the discretion of the instructor and as specified on their syllabus. Repeated absences may result in a failing grade. For full details, see Pratt’s </w:t>
      </w:r>
      <w:hyperlink r:id="rId22">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23">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w:t>
      </w:r>
      <w:r w:rsidRPr="00977ECE">
        <w:lastRenderedPageBreak/>
        <w:t xml:space="preserve">contact the Student Success Center at </w:t>
      </w:r>
      <w:hyperlink r:id="rId24">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25">
        <w:r w:rsidR="00B947DB" w:rsidRPr="00977ECE">
          <w:rPr>
            <w:color w:val="1155CC"/>
            <w:u w:val="single"/>
          </w:rPr>
          <w:t>wtc@pratt.edu</w:t>
        </w:r>
      </w:hyperlink>
      <w:r w:rsidRPr="00977ECE">
        <w:t xml:space="preserve">. The </w:t>
      </w:r>
      <w:hyperlink r:id="rId26">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7">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8">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in order to determine and implement reasonable accommodations. Contact the Learning/Access Center at </w:t>
      </w:r>
      <w:hyperlink r:id="rId29">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30">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31">
        <w:r w:rsidR="00B947DB" w:rsidRPr="00977ECE">
          <w:rPr>
            <w:color w:val="1155CC"/>
            <w:u w:val="single"/>
          </w:rPr>
          <w:t>Title IX and Sexual Misconduct Disclosure Form</w:t>
        </w:r>
      </w:hyperlink>
      <w:r w:rsidRPr="00977ECE">
        <w:t xml:space="preserve">. Title IX also covers accommodations for pregnancy and related conditions and/or parental status. Should you require a reasonable accommodation because of such status, please contact the </w:t>
      </w:r>
      <w:hyperlink r:id="rId32">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33">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34">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35">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36">
        <w:r w:rsidR="00B947DB" w:rsidRPr="00977ECE">
          <w:rPr>
            <w:color w:val="1155CC"/>
            <w:u w:val="single"/>
          </w:rPr>
          <w:t>Health Services</w:t>
        </w:r>
      </w:hyperlink>
      <w:r w:rsidRPr="00977ECE">
        <w:t xml:space="preserve"> or the </w:t>
      </w:r>
      <w:hyperlink r:id="rId37">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8">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9">
        <w:r w:rsidR="00B947DB" w:rsidRPr="00977ECE">
          <w:rPr>
            <w:color w:val="1155CC"/>
            <w:u w:val="single"/>
          </w:rPr>
          <w:t>Starfish</w:t>
        </w:r>
      </w:hyperlink>
      <w:r w:rsidRPr="00977ECE">
        <w:t xml:space="preserve">, including our Student Advocate and Care Coordinator, who can also be reached at 718.399.4546 or </w:t>
      </w:r>
      <w:hyperlink r:id="rId40">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41">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42">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lastRenderedPageBreak/>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43">
        <w:r w:rsidR="00B947DB" w:rsidRPr="00977ECE">
          <w:rPr>
            <w:color w:val="1155CC"/>
            <w:u w:val="single"/>
          </w:rPr>
          <w:t>emergency response guide</w:t>
        </w:r>
      </w:hyperlink>
      <w:r w:rsidRPr="00977ECE">
        <w:t xml:space="preserve">. Contact Public Safety at </w:t>
      </w:r>
      <w:hyperlink r:id="rId44">
        <w:r w:rsidR="00B947DB" w:rsidRPr="00977ECE">
          <w:rPr>
            <w:color w:val="1155CC"/>
            <w:u w:val="single"/>
          </w:rPr>
          <w:t>security@pratt.edu</w:t>
        </w:r>
      </w:hyperlink>
      <w:r w:rsidRPr="00977EC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5">
        <w:r w:rsidR="00B947DB" w:rsidRPr="00977ECE">
          <w:rPr>
            <w:color w:val="1155CC"/>
            <w:u w:val="single"/>
          </w:rPr>
          <w:t>Safety</w:t>
        </w:r>
      </w:hyperlink>
      <w:r w:rsidRPr="00977ECE">
        <w:t xml:space="preserve"> section of OnePratt.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46"/>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0BBA2" w14:textId="77777777" w:rsidR="005D7613" w:rsidRDefault="005D7613">
      <w:pPr>
        <w:spacing w:line="240" w:lineRule="auto"/>
      </w:pPr>
      <w:r>
        <w:separator/>
      </w:r>
    </w:p>
  </w:endnote>
  <w:endnote w:type="continuationSeparator" w:id="0">
    <w:p w14:paraId="6C9A34C8" w14:textId="77777777" w:rsidR="005D7613" w:rsidRDefault="005D76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DE9D6C93-E978-49F6-A34B-DDB83540D569}"/>
  </w:font>
  <w:font w:name="Calibri">
    <w:panose1 w:val="020F0502020204030204"/>
    <w:charset w:val="00"/>
    <w:family w:val="swiss"/>
    <w:pitch w:val="variable"/>
    <w:sig w:usb0="E4002EFF" w:usb1="C200247B" w:usb2="00000009" w:usb3="00000000" w:csb0="000001FF" w:csb1="00000000"/>
    <w:embedRegular r:id="rId2" w:fontKey="{EC81B037-3F4D-45EE-85B7-4F424F51BC31}"/>
  </w:font>
  <w:font w:name="Cambria">
    <w:panose1 w:val="02040503050406030204"/>
    <w:charset w:val="00"/>
    <w:family w:val="roman"/>
    <w:pitch w:val="variable"/>
    <w:sig w:usb0="E00006FF" w:usb1="420024FF" w:usb2="02000000" w:usb3="00000000" w:csb0="0000019F" w:csb1="00000000"/>
    <w:embedRegular r:id="rId3" w:fontKey="{298084A0-8F0A-4718-A9EA-C49FC853240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12FD2" w14:textId="77777777" w:rsidR="005D7613" w:rsidRDefault="005D7613">
      <w:pPr>
        <w:spacing w:line="240" w:lineRule="auto"/>
      </w:pPr>
      <w:r>
        <w:separator/>
      </w:r>
    </w:p>
  </w:footnote>
  <w:footnote w:type="continuationSeparator" w:id="0">
    <w:p w14:paraId="78743EEF" w14:textId="77777777" w:rsidR="005D7613" w:rsidRDefault="005D761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240DD"/>
    <w:rsid w:val="00040A5C"/>
    <w:rsid w:val="0004448B"/>
    <w:rsid w:val="00076414"/>
    <w:rsid w:val="000A209A"/>
    <w:rsid w:val="000A6035"/>
    <w:rsid w:val="000F40F9"/>
    <w:rsid w:val="00110E21"/>
    <w:rsid w:val="001674B9"/>
    <w:rsid w:val="001828DD"/>
    <w:rsid w:val="00184149"/>
    <w:rsid w:val="00192D0D"/>
    <w:rsid w:val="001B0815"/>
    <w:rsid w:val="001B29F2"/>
    <w:rsid w:val="001E7616"/>
    <w:rsid w:val="001F75A0"/>
    <w:rsid w:val="002103C9"/>
    <w:rsid w:val="0022531F"/>
    <w:rsid w:val="00261A40"/>
    <w:rsid w:val="0027166B"/>
    <w:rsid w:val="00271D5C"/>
    <w:rsid w:val="002920F7"/>
    <w:rsid w:val="00294428"/>
    <w:rsid w:val="00296173"/>
    <w:rsid w:val="002A00F4"/>
    <w:rsid w:val="002B5E5B"/>
    <w:rsid w:val="002B697F"/>
    <w:rsid w:val="003349DC"/>
    <w:rsid w:val="00340848"/>
    <w:rsid w:val="00350EC1"/>
    <w:rsid w:val="00394AB7"/>
    <w:rsid w:val="00395E91"/>
    <w:rsid w:val="003B7192"/>
    <w:rsid w:val="003C367F"/>
    <w:rsid w:val="003E7635"/>
    <w:rsid w:val="004023CD"/>
    <w:rsid w:val="00403007"/>
    <w:rsid w:val="004062E7"/>
    <w:rsid w:val="00407DBB"/>
    <w:rsid w:val="00423123"/>
    <w:rsid w:val="00433250"/>
    <w:rsid w:val="00444CD4"/>
    <w:rsid w:val="00482BC5"/>
    <w:rsid w:val="004C5EB7"/>
    <w:rsid w:val="00512770"/>
    <w:rsid w:val="0053340B"/>
    <w:rsid w:val="005419AE"/>
    <w:rsid w:val="00543407"/>
    <w:rsid w:val="005A0322"/>
    <w:rsid w:val="005A0333"/>
    <w:rsid w:val="005B6A5B"/>
    <w:rsid w:val="005D7613"/>
    <w:rsid w:val="00623C16"/>
    <w:rsid w:val="00652B79"/>
    <w:rsid w:val="00680A04"/>
    <w:rsid w:val="006938BA"/>
    <w:rsid w:val="006B58BC"/>
    <w:rsid w:val="006C0B5A"/>
    <w:rsid w:val="007252FF"/>
    <w:rsid w:val="00745FAE"/>
    <w:rsid w:val="00750975"/>
    <w:rsid w:val="00762E7F"/>
    <w:rsid w:val="007657C0"/>
    <w:rsid w:val="00765A31"/>
    <w:rsid w:val="007800BC"/>
    <w:rsid w:val="007A04D5"/>
    <w:rsid w:val="007D6428"/>
    <w:rsid w:val="00811ACC"/>
    <w:rsid w:val="008357FF"/>
    <w:rsid w:val="0084366A"/>
    <w:rsid w:val="00877037"/>
    <w:rsid w:val="008775EA"/>
    <w:rsid w:val="008A5975"/>
    <w:rsid w:val="008C3648"/>
    <w:rsid w:val="008D0072"/>
    <w:rsid w:val="0090396C"/>
    <w:rsid w:val="009106E1"/>
    <w:rsid w:val="00910D50"/>
    <w:rsid w:val="009266AA"/>
    <w:rsid w:val="00950B99"/>
    <w:rsid w:val="00973D6B"/>
    <w:rsid w:val="009743BA"/>
    <w:rsid w:val="00977ECE"/>
    <w:rsid w:val="009801BA"/>
    <w:rsid w:val="0098097D"/>
    <w:rsid w:val="00991E7A"/>
    <w:rsid w:val="00A103FF"/>
    <w:rsid w:val="00A136EA"/>
    <w:rsid w:val="00A541B9"/>
    <w:rsid w:val="00A6784E"/>
    <w:rsid w:val="00A67EBD"/>
    <w:rsid w:val="00A81C99"/>
    <w:rsid w:val="00A86BC7"/>
    <w:rsid w:val="00AA755F"/>
    <w:rsid w:val="00AB4AD5"/>
    <w:rsid w:val="00AC0EF1"/>
    <w:rsid w:val="00AC1645"/>
    <w:rsid w:val="00AD49F3"/>
    <w:rsid w:val="00AE3F9F"/>
    <w:rsid w:val="00B03600"/>
    <w:rsid w:val="00B316BC"/>
    <w:rsid w:val="00B37E01"/>
    <w:rsid w:val="00B6081E"/>
    <w:rsid w:val="00B743A9"/>
    <w:rsid w:val="00B947DB"/>
    <w:rsid w:val="00B95B94"/>
    <w:rsid w:val="00BA5FEE"/>
    <w:rsid w:val="00BD203E"/>
    <w:rsid w:val="00BD5496"/>
    <w:rsid w:val="00BE220C"/>
    <w:rsid w:val="00C20791"/>
    <w:rsid w:val="00C37FB7"/>
    <w:rsid w:val="00C535A9"/>
    <w:rsid w:val="00C633B6"/>
    <w:rsid w:val="00C77DCE"/>
    <w:rsid w:val="00CA5ECE"/>
    <w:rsid w:val="00D20E43"/>
    <w:rsid w:val="00D37273"/>
    <w:rsid w:val="00D55428"/>
    <w:rsid w:val="00D83685"/>
    <w:rsid w:val="00D90C0E"/>
    <w:rsid w:val="00DB10BE"/>
    <w:rsid w:val="00DC1C7D"/>
    <w:rsid w:val="00DE3D0F"/>
    <w:rsid w:val="00DE57F5"/>
    <w:rsid w:val="00E00C3E"/>
    <w:rsid w:val="00E10090"/>
    <w:rsid w:val="00E857AE"/>
    <w:rsid w:val="00EE3713"/>
    <w:rsid w:val="00F0676B"/>
    <w:rsid w:val="00F2713A"/>
    <w:rsid w:val="00F85834"/>
    <w:rsid w:val="00F85AF2"/>
    <w:rsid w:val="00FB7D8B"/>
    <w:rsid w:val="00FB7FE0"/>
    <w:rsid w:val="00FB7F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automatetheboringstuff.com/" TargetMode="External"/><Relationship Id="rId18" Type="http://schemas.openxmlformats.org/officeDocument/2006/relationships/hyperlink" Target="https://www.pratt.edu/administrative-departments/student-affairs/community-standards-and-student-policies/" TargetMode="External"/><Relationship Id="rId26" Type="http://schemas.openxmlformats.org/officeDocument/2006/relationships/hyperlink" Target="https://library.pratt.edu/" TargetMode="External"/><Relationship Id="rId39" Type="http://schemas.openxmlformats.org/officeDocument/2006/relationships/hyperlink" Target="https://pratt.starfishsolutions.com/starfish-ops/dl/instructor/serviceCatalog.html" TargetMode="External"/><Relationship Id="rId3" Type="http://schemas.openxmlformats.org/officeDocument/2006/relationships/settings" Target="settings.xml"/><Relationship Id="rId21" Type="http://schemas.openxmlformats.org/officeDocument/2006/relationships/hyperlink" Target="https://www.pratt.edu/policies/academic-integrity" TargetMode="External"/><Relationship Id="rId34" Type="http://schemas.openxmlformats.org/officeDocument/2006/relationships/hyperlink" Target="https://www.pratt.edu/administrative-departments/student-affairs/office-of-institutional-equity-title-ix/" TargetMode="External"/><Relationship Id="rId42" Type="http://schemas.openxmlformats.org/officeDocument/2006/relationships/hyperlink" Target="https://pratt.starfishsolutions.com/starfish-ops/dl/instructor/serviceCatalog.html" TargetMode="External"/><Relationship Id="rId47"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hyperlink" Target="https://policyviz.com/2018/01/11/fk-it-lets-use-pie-charts/" TargetMode="External"/><Relationship Id="rId17" Type="http://schemas.openxmlformats.org/officeDocument/2006/relationships/hyperlink" Target="https://www.pratt.edu/administrative-departments/student-affairs/community-standards-and-student-policies/" TargetMode="External"/><Relationship Id="rId25" Type="http://schemas.openxmlformats.org/officeDocument/2006/relationships/hyperlink" Target="mailto:wtc@pratt.edu" TargetMode="External"/><Relationship Id="rId33" Type="http://schemas.openxmlformats.org/officeDocument/2006/relationships/hyperlink" Target="https://www.pratt.edu/administrative-departments/student-affairs/community-standards-and-student-policies/title-ix-nondiscrimination-and-anti-harassment-policy/" TargetMode="External"/><Relationship Id="rId38" Type="http://schemas.openxmlformats.org/officeDocument/2006/relationships/hyperlink" Target="https://www.pratt.edu/administrative-departments/student-affairs/office-of-institutional-equity-title-ix/" TargetMode="External"/><Relationship Id="rId46"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nytransitmuseum.org/vignelli/" TargetMode="External"/><Relationship Id="rId20" Type="http://schemas.openxmlformats.org/officeDocument/2006/relationships/hyperlink" Target="https://www.pratt.edu/policies/academic-integrity" TargetMode="External"/><Relationship Id="rId29" Type="http://schemas.openxmlformats.org/officeDocument/2006/relationships/hyperlink" Target="mailto:lac@pratt.edu" TargetMode="External"/><Relationship Id="rId41" Type="http://schemas.openxmlformats.org/officeDocument/2006/relationships/hyperlink" Target="mailto:therapy@pratt.ed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mailto:success@pratt.edu" TargetMode="External"/><Relationship Id="rId32" Type="http://schemas.openxmlformats.org/officeDocument/2006/relationships/hyperlink" Target="https://www.pratt.edu/administrative-departments/student-affairs/office-of-institutional-equity-title-ix/" TargetMode="External"/><Relationship Id="rId37" Type="http://schemas.openxmlformats.org/officeDocument/2006/relationships/hyperlink" Target="https://www.pratt.edu/about/offices/student-affairs/the-counseling-center/" TargetMode="External"/><Relationship Id="rId40" Type="http://schemas.openxmlformats.org/officeDocument/2006/relationships/hyperlink" Target="mailto:studentadvocate@pratt.edu" TargetMode="External"/><Relationship Id="rId45" Type="http://schemas.openxmlformats.org/officeDocument/2006/relationships/hyperlink" Target="https://one.pratt.edu/s/safety-wellness" TargetMode="External"/><Relationship Id="rId5" Type="http://schemas.openxmlformats.org/officeDocument/2006/relationships/footnotes" Target="footnotes.xml"/><Relationship Id="rId15" Type="http://schemas.openxmlformats.org/officeDocument/2006/relationships/hyperlink" Target="https://policyviz.com/2021/03/02/three-things-you-can-do-to-make-your-data-tables-more-visual/" TargetMode="External"/><Relationship Id="rId23" Type="http://schemas.openxmlformats.org/officeDocument/2006/relationships/hyperlink" Target="https://bit.ly/prattattendancepolicy" TargetMode="External"/><Relationship Id="rId28" Type="http://schemas.openxmlformats.org/officeDocument/2006/relationships/hyperlink" Target="https://www.pratt.edu/about/offices/student-affairs/learning-access-center/" TargetMode="External"/><Relationship Id="rId36" Type="http://schemas.openxmlformats.org/officeDocument/2006/relationships/hyperlink" Target="https://www.pratt.edu/about/offices/student-affairs/health-services/"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https://www.pratt.edu/resources/statement-on-artificial-intelligence" TargetMode="External"/><Relationship Id="rId31" Type="http://schemas.openxmlformats.org/officeDocument/2006/relationships/hyperlink" Target="https://cm.maxient.com/reportingform.php?PrattInstitute&amp;layout_id=6" TargetMode="External"/><Relationship Id="rId44" Type="http://schemas.openxmlformats.org/officeDocument/2006/relationships/hyperlink" Target="mailto:security@pratt.edu" TargetMode="Externa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policyviz.com/2020/09/23/on-positioning-the-vertical-axis/" TargetMode="External"/><Relationship Id="rId22" Type="http://schemas.openxmlformats.org/officeDocument/2006/relationships/hyperlink" Target="https://www.pratt.edu/policies/attendance-policy/" TargetMode="External"/><Relationship Id="rId27" Type="http://schemas.openxmlformats.org/officeDocument/2006/relationships/hyperlink" Target="https://pratt.starfishsolutions.com/starfish-ops/dl/instructor/serviceCatalog.html" TargetMode="External"/><Relationship Id="rId30" Type="http://schemas.openxmlformats.org/officeDocument/2006/relationships/hyperlink" Target="https://www.pratt.edu/administrative-departments/student-affairs/community-standards-and-student-policies/title-ix-nondiscrimination-and-anti-harassment-policy/" TargetMode="External"/><Relationship Id="rId35" Type="http://schemas.openxmlformats.org/officeDocument/2006/relationships/hyperlink" Target="https://cm.maxient.com/reportingform.php?PrattInstitute&amp;layout_id=6" TargetMode="External"/><Relationship Id="rId43" Type="http://schemas.openxmlformats.org/officeDocument/2006/relationships/hyperlink" Target="https://www.pratt.edu/about/offices/department-of-public-safety/emergency-response-guide/" TargetMode="External"/><Relationship Id="rId48"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1317</TotalTime>
  <Pages>8</Pages>
  <Words>2942</Words>
  <Characters>16892</Characters>
  <Application>Microsoft Office Word</Application>
  <DocSecurity>0</DocSecurity>
  <Lines>544</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48</cp:revision>
  <cp:lastPrinted>2025-12-17T16:50:00Z</cp:lastPrinted>
  <dcterms:created xsi:type="dcterms:W3CDTF">2025-11-28T15:34:00Z</dcterms:created>
  <dcterms:modified xsi:type="dcterms:W3CDTF">2026-03-25T19:33:00Z</dcterms:modified>
</cp:coreProperties>
</file>