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5CF42" w14:textId="2388052B" w:rsidR="00022BA1" w:rsidRDefault="00022BA1" w:rsidP="00022BA1">
      <w:pPr>
        <w:contextualSpacing/>
        <w:jc w:val="center"/>
      </w:pPr>
      <w:r w:rsidRPr="008F3B6D">
        <w:t xml:space="preserve">Week </w:t>
      </w:r>
      <w:r w:rsidR="002F4C2C">
        <w:t>4: Visualizing Proportions and Relationships</w:t>
      </w:r>
    </w:p>
    <w:p w14:paraId="07EC3402" w14:textId="77777777" w:rsidR="00022BA1" w:rsidRDefault="00022BA1" w:rsidP="00022BA1">
      <w:pPr>
        <w:contextualSpacing/>
        <w:jc w:val="center"/>
      </w:pPr>
    </w:p>
    <w:p w14:paraId="53A46D81" w14:textId="42E12EA9" w:rsidR="003E0F51" w:rsidRPr="00C5023F" w:rsidRDefault="00C5023F">
      <w:pPr>
        <w:rPr>
          <w:b/>
          <w:bCs/>
        </w:rPr>
      </w:pPr>
      <w:r w:rsidRPr="00C5023F">
        <w:rPr>
          <w:b/>
          <w:bCs/>
        </w:rPr>
        <w:t>Proportions</w:t>
      </w:r>
    </w:p>
    <w:p w14:paraId="378A7947" w14:textId="13F7ED2C" w:rsidR="00C5023F" w:rsidRDefault="00C5023F">
      <w:r>
        <w:t xml:space="preserve">We often encounter datasets in which we want to visualize parts of a whole – how some amount breaks down into a sum of component categories. We call these proportions. When we talk about visualizing proportions, pie charts are the first thing that typically come to mind. In todays lecture, I want to not only offer some helpful guidelines around the use of pie charts, but also provide some alternatives that can be more useful in some situations. </w:t>
      </w:r>
    </w:p>
    <w:p w14:paraId="5A4C245F" w14:textId="2050745A" w:rsidR="00C5023F" w:rsidRDefault="00C5023F">
      <w:r>
        <w:t>Pie Charts</w:t>
      </w:r>
      <w:r w:rsidR="00012BC1">
        <w:t xml:space="preserve"> -</w:t>
      </w:r>
      <w:r w:rsidR="00012BC1">
        <w:t xml:space="preserve"> when they work (multiple pies from policy viz article)</w:t>
      </w:r>
    </w:p>
    <w:p w14:paraId="600D04B0" w14:textId="1B5548AF" w:rsidR="00C5023F" w:rsidRDefault="00C5023F">
      <w:r>
        <w:t>Side by Side Bars</w:t>
      </w:r>
    </w:p>
    <w:p w14:paraId="649DD876" w14:textId="2A5B32E5" w:rsidR="00C5023F" w:rsidRDefault="00C5023F">
      <w:r>
        <w:t>Stacked Bars</w:t>
      </w:r>
    </w:p>
    <w:p w14:paraId="5BA18D69" w14:textId="2C8E7907" w:rsidR="00C5023F" w:rsidRDefault="00C5023F">
      <w:r>
        <w:t>Density Plots – Stacked and faceted approaches</w:t>
      </w:r>
    </w:p>
    <w:p w14:paraId="71DFCBE0" w14:textId="0CADD9FD" w:rsidR="00C5023F" w:rsidRDefault="00C5023F">
      <w:pPr>
        <w:rPr>
          <w:b/>
          <w:bCs/>
        </w:rPr>
      </w:pPr>
      <w:r w:rsidRPr="00C5023F">
        <w:rPr>
          <w:b/>
          <w:bCs/>
        </w:rPr>
        <w:t>Nested Proportions</w:t>
      </w:r>
    </w:p>
    <w:p w14:paraId="45A8A618" w14:textId="45BEB186" w:rsidR="005A6BC7" w:rsidRDefault="00C5023F">
      <w:r>
        <w:t>If a proportion shows how an amount is broken down into it’s component parts, a nested proportion is when those component parts can be further broken down. For instance, we can breakdown the total enrollment of a college or university by “school”, but then we can further break that down by gender, major, students who live on-campus vs commuters, etc.</w:t>
      </w:r>
    </w:p>
    <w:p w14:paraId="18639EA3" w14:textId="4272B578" w:rsidR="00D304CD" w:rsidRDefault="00D304CD">
      <w:r>
        <w:t>Incorrect approaches (pie charts with &gt;100%, bar charts that don’t show the nesting aspect)</w:t>
      </w:r>
    </w:p>
    <w:p w14:paraId="711932EA" w14:textId="294FE688" w:rsidR="00D304CD" w:rsidRDefault="00D304CD">
      <w:r>
        <w:t>Mosaic Plots</w:t>
      </w:r>
    </w:p>
    <w:p w14:paraId="6644434E" w14:textId="3DEA1107" w:rsidR="00D304CD" w:rsidRDefault="00D304CD">
      <w:r>
        <w:t>Tree Plots</w:t>
      </w:r>
    </w:p>
    <w:p w14:paraId="1B4CB502" w14:textId="1A55475A" w:rsidR="00D304CD" w:rsidRDefault="00D304CD">
      <w:r>
        <w:t>Nested Pies (concentric circles vs color coding)</w:t>
      </w:r>
    </w:p>
    <w:p w14:paraId="767A8616" w14:textId="2F15F9BC" w:rsidR="00D304CD" w:rsidRDefault="00D304CD">
      <w:r>
        <w:t>Parallel Sets (Sanke Diagrams)</w:t>
      </w:r>
    </w:p>
    <w:p w14:paraId="07A802C1" w14:textId="77777777" w:rsidR="00D304CD" w:rsidRDefault="00D304CD"/>
    <w:p w14:paraId="2FFDD603" w14:textId="01F37419" w:rsidR="00D304CD" w:rsidRDefault="00D304CD">
      <w:pPr>
        <w:rPr>
          <w:b/>
          <w:bCs/>
        </w:rPr>
      </w:pPr>
      <w:r w:rsidRPr="00D304CD">
        <w:rPr>
          <w:b/>
          <w:bCs/>
        </w:rPr>
        <w:t>Relationships</w:t>
      </w:r>
    </w:p>
    <w:p w14:paraId="234E624F" w14:textId="77777777" w:rsidR="00D304CD" w:rsidRDefault="00D304CD">
      <w:r>
        <w:t xml:space="preserve">In the field of data analytics, we are often interested in showing how quantitative variables relate to each other. Understanding relationships between variables can help us tremendously with prediction/forecasting problems, and also just make for interesting analysis. The most common approach to this problem is the scatterplot, but we’ll look at a few variations that might help depending on your context. We won’t get too much into the </w:t>
      </w:r>
      <w:r>
        <w:lastRenderedPageBreak/>
        <w:t>math behind quantitative relationships today, but just focus on the visual representations. We’ll briefly cover some of the statistical concepts in week 9, as I believe you should have some background in these concepts if you are presenting data in this way.</w:t>
      </w:r>
    </w:p>
    <w:p w14:paraId="63EDAD6B" w14:textId="68315F5C" w:rsidR="00D304CD" w:rsidRDefault="00D304CD">
      <w:r>
        <w:t>Scatter Plots (test score, hours studied)</w:t>
      </w:r>
    </w:p>
    <w:p w14:paraId="0E85BFDB" w14:textId="10568D05" w:rsidR="00D304CD" w:rsidRDefault="00D304CD" w:rsidP="00D304CD">
      <w:pPr>
        <w:pStyle w:val="ListParagraph"/>
        <w:numPr>
          <w:ilvl w:val="0"/>
          <w:numId w:val="2"/>
        </w:numPr>
      </w:pPr>
      <w:r>
        <w:t>Color coded dots</w:t>
      </w:r>
    </w:p>
    <w:p w14:paraId="5E8FE316" w14:textId="5B44EF99" w:rsidR="00D304CD" w:rsidRDefault="00D304CD" w:rsidP="00D304CD">
      <w:pPr>
        <w:pStyle w:val="ListParagraph"/>
        <w:numPr>
          <w:ilvl w:val="0"/>
          <w:numId w:val="2"/>
        </w:numPr>
      </w:pPr>
      <w:r>
        <w:t>Faceted plots</w:t>
      </w:r>
    </w:p>
    <w:p w14:paraId="6CB825B9" w14:textId="118A8AAF" w:rsidR="00D304CD" w:rsidRDefault="00D304CD" w:rsidP="00D304CD">
      <w:pPr>
        <w:pStyle w:val="ListParagraph"/>
        <w:numPr>
          <w:ilvl w:val="0"/>
          <w:numId w:val="2"/>
        </w:numPr>
      </w:pPr>
      <w:proofErr w:type="spellStart"/>
      <w:r>
        <w:t>Lmplots</w:t>
      </w:r>
      <w:proofErr w:type="spellEnd"/>
      <w:r>
        <w:t xml:space="preserve"> (seaborn)</w:t>
      </w:r>
    </w:p>
    <w:p w14:paraId="5CDC14FB" w14:textId="23AB411D" w:rsidR="00D304CD" w:rsidRDefault="00D304CD" w:rsidP="00D304CD">
      <w:pPr>
        <w:pStyle w:val="ListParagraph"/>
      </w:pPr>
      <w:r>
        <w:rPr>
          <w:noProof/>
        </w:rPr>
        <w:drawing>
          <wp:inline distT="0" distB="0" distL="0" distR="0" wp14:anchorId="750EB5CB" wp14:editId="64BC3788">
            <wp:extent cx="5010150" cy="4048125"/>
            <wp:effectExtent l="0" t="0" r="0" b="9525"/>
            <wp:docPr id="12703079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71EBF" w14:textId="213CDF00" w:rsidR="00D304CD" w:rsidRDefault="00D304CD" w:rsidP="00D304CD">
      <w:pPr>
        <w:pStyle w:val="ListParagraph"/>
      </w:pPr>
      <w:r>
        <w:rPr>
          <w:noProof/>
        </w:rPr>
        <w:lastRenderedPageBreak/>
        <w:drawing>
          <wp:inline distT="0" distB="0" distL="0" distR="0" wp14:anchorId="67F5B26D" wp14:editId="4053BCAF">
            <wp:extent cx="5943600" cy="2519680"/>
            <wp:effectExtent l="0" t="0" r="0" b="0"/>
            <wp:docPr id="763266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E3645" w14:textId="082813B7" w:rsidR="00D304CD" w:rsidRDefault="00D304CD" w:rsidP="00D304CD">
      <w:pPr>
        <w:pStyle w:val="ListParagraph"/>
        <w:numPr>
          <w:ilvl w:val="0"/>
          <w:numId w:val="2"/>
        </w:numPr>
      </w:pPr>
      <w:r>
        <w:t>All against all scatter plots</w:t>
      </w:r>
    </w:p>
    <w:p w14:paraId="190D68F8" w14:textId="54466A2B" w:rsidR="00D304CD" w:rsidRDefault="00D304CD" w:rsidP="00D304CD">
      <w:pPr>
        <w:pStyle w:val="ListParagraph"/>
        <w:numPr>
          <w:ilvl w:val="0"/>
          <w:numId w:val="2"/>
        </w:numPr>
      </w:pPr>
      <w:r>
        <w:t xml:space="preserve">Correlograms </w:t>
      </w:r>
    </w:p>
    <w:p w14:paraId="7A59989C" w14:textId="7D6D6F50" w:rsidR="004C6DD8" w:rsidRDefault="004C6DD8" w:rsidP="004C6DD8">
      <w:pPr>
        <w:pStyle w:val="ListParagraph"/>
        <w:numPr>
          <w:ilvl w:val="1"/>
          <w:numId w:val="2"/>
        </w:numPr>
      </w:pPr>
      <w:r>
        <w:t xml:space="preserve">Correlation coefficient only measures linear relationships. Not useful for non-linear relationships. Show </w:t>
      </w:r>
      <w:proofErr w:type="spellStart"/>
      <w:r>
        <w:t>Anscombes</w:t>
      </w:r>
      <w:proofErr w:type="spellEnd"/>
      <w:r>
        <w:t xml:space="preserve"> quartet </w:t>
      </w:r>
    </w:p>
    <w:p w14:paraId="0BF357DC" w14:textId="2FFB4BDA" w:rsidR="00D304CD" w:rsidRDefault="00D304CD" w:rsidP="00D304CD">
      <w:pPr>
        <w:pStyle w:val="ListParagraph"/>
        <w:numPr>
          <w:ilvl w:val="0"/>
          <w:numId w:val="2"/>
        </w:numPr>
      </w:pPr>
      <w:r>
        <w:t>Dimension Reduction</w:t>
      </w:r>
    </w:p>
    <w:p w14:paraId="5F53B4DE" w14:textId="1059E292" w:rsidR="00D304CD" w:rsidRDefault="00D304CD" w:rsidP="00D304CD">
      <w:pPr>
        <w:pStyle w:val="ListParagraph"/>
        <w:numPr>
          <w:ilvl w:val="0"/>
          <w:numId w:val="2"/>
        </w:numPr>
      </w:pPr>
      <w:r>
        <w:t>Paired Data</w:t>
      </w:r>
    </w:p>
    <w:p w14:paraId="313C4459" w14:textId="01779722" w:rsidR="00D304CD" w:rsidRPr="00D304CD" w:rsidRDefault="00D304CD">
      <w:r>
        <w:t xml:space="preserve"> </w:t>
      </w:r>
    </w:p>
    <w:sectPr w:rsidR="00D304CD" w:rsidRPr="00D304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37103"/>
    <w:multiLevelType w:val="hybridMultilevel"/>
    <w:tmpl w:val="841A6598"/>
    <w:lvl w:ilvl="0" w:tplc="D08414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2B5EA6"/>
    <w:multiLevelType w:val="hybridMultilevel"/>
    <w:tmpl w:val="E7625B7E"/>
    <w:lvl w:ilvl="0" w:tplc="5D1C8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48858">
    <w:abstractNumId w:val="0"/>
  </w:num>
  <w:num w:numId="2" w16cid:durableId="2066295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BA1"/>
    <w:rsid w:val="00012BC1"/>
    <w:rsid w:val="00022BA1"/>
    <w:rsid w:val="000360AD"/>
    <w:rsid w:val="002F4C2C"/>
    <w:rsid w:val="00394AB7"/>
    <w:rsid w:val="003E0F51"/>
    <w:rsid w:val="004C6DD8"/>
    <w:rsid w:val="005A6BC7"/>
    <w:rsid w:val="00A6784E"/>
    <w:rsid w:val="00C5023F"/>
    <w:rsid w:val="00D304CD"/>
    <w:rsid w:val="00E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5B1E4"/>
  <w15:chartTrackingRefBased/>
  <w15:docId w15:val="{028C035F-8388-46F5-98A6-9D0FB48D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BA1"/>
  </w:style>
  <w:style w:type="paragraph" w:styleId="Heading1">
    <w:name w:val="heading 1"/>
    <w:basedOn w:val="Normal"/>
    <w:next w:val="Normal"/>
    <w:link w:val="Heading1Char"/>
    <w:uiPriority w:val="9"/>
    <w:qFormat/>
    <w:rsid w:val="00022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B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B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B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B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B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B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B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B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B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B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B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</Pages>
  <Words>332</Words>
  <Characters>1907</Characters>
  <Application>Microsoft Office Word</Application>
  <DocSecurity>0</DocSecurity>
  <Lines>61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5</cp:revision>
  <dcterms:created xsi:type="dcterms:W3CDTF">2026-01-10T18:55:00Z</dcterms:created>
  <dcterms:modified xsi:type="dcterms:W3CDTF">2026-01-18T16:23:00Z</dcterms:modified>
</cp:coreProperties>
</file>