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標楷體"/>
          <w:b/>
          <w:sz w:val="32"/>
        </w:rPr>
        <w:t>文章題目、賣點、材料（Codex 證據邊界批改版；2026-07-24）</w:t>
      </w:r>
    </w:p>
    <w:p>
      <w:r>
        <w:rPr>
          <w:rFonts w:ascii="Times New Roman" w:hAnsi="Times New Roman" w:eastAsia="標楷體"/>
          <w:b w:val="0"/>
          <w:sz w:val="22"/>
        </w:rPr>
        <w:t>本頁依 57 篇主庫、現有全文／摘要層級、05 單向定版成果及 06 階段性成果重新校準。原架構中可用的案例主軸與跨尺度方法予以保留；涉及現地因果、裂縫驗證、雙向回饋與時間尺度者，改成與現有證據相稱的語氣。</w:t>
      </w:r>
      <w:r>
        <w:rPr>
          <w:rFonts w:ascii="Times New Roman" w:hAnsi="Times New Roman" w:eastAsia="標楷體"/>
          <w:b w:val="0"/>
          <w:sz w:val="22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0"/>
          <w:highlight w:val="yellow"/>
        </w:rPr>
        <w:t>【重點：本頁是討論稿，不是定版題目；所有主張須能回指 observation、scenario input 或 numerical evidence】</w:t>
      </w:r>
    </w:p>
    <w:p>
      <w:pPr>
        <w:pStyle w:val="Heading2"/>
      </w:pPr>
      <w:r>
        <w:rPr>
          <w:rFonts w:ascii="Times New Roman" w:hAnsi="Times New Roman" w:eastAsia="標楷體"/>
          <w:b/>
          <w:sz w:val="28"/>
        </w:rPr>
        <w:t>一、工作題目（未定版）</w:t>
      </w:r>
    </w:p>
    <w:p>
      <w:r>
        <w:rPr>
          <w:rFonts w:ascii="Times New Roman" w:hAnsi="Times New Roman" w:eastAsia="標楷體"/>
          <w:b w:val="0"/>
          <w:sz w:val="24"/>
        </w:rPr>
        <w:t>現地資料可支持病害存在、多期變化及高異常區分布，但目前不足以單獨證明地下水循環是裂縫的唯一或直接成因；數值水位變幅亦包含 100 m 放大情境。因此題目宜使用 under、numerical study 或 numerical investigation，暫不使用 driven by、influenced by、the driving mechanism。</w:t>
      </w:r>
      <w:r>
        <w:rPr>
          <w:rFonts w:ascii="Times New Roman" w:hAnsi="Times New Roman" w:eastAsia="標楷體"/>
          <w:b w:val="0"/>
          <w:sz w:val="24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2"/>
          <w:highlight w:val="yellow"/>
        </w:rPr>
        <w:t>【重點：題目要同時揭露水文情境與數值研究屬性，避免把數值機制寫成已完成的現地因果】</w:t>
      </w:r>
    </w:p>
    <w:p>
      <w:r>
        <w:rPr>
          <w:rFonts w:ascii="Times New Roman" w:hAnsi="Times New Roman" w:eastAsia="標楷體"/>
          <w:b/>
          <w:sz w:val="24"/>
        </w:rPr>
        <w:t>建議首選：</w:t>
      </w:r>
    </w:p>
    <w:p>
      <w:pPr>
        <w:ind w:left="360"/>
      </w:pPr>
      <w:r>
        <w:rPr>
          <w:rFonts w:ascii="Times New Roman" w:hAnsi="Times New Roman" w:eastAsia="標楷體"/>
          <w:b/>
          <w:sz w:val="24"/>
        </w:rPr>
        <w:t>Lining damage evolution in an operating mountain railway tunnel under cyclic groundwater-level fluctuations: A cross-scale continuum-discrete numerical study</w:t>
      </w:r>
    </w:p>
    <w:p>
      <w:pPr>
        <w:ind w:left="360"/>
      </w:pPr>
      <w:r>
        <w:rPr>
          <w:rFonts w:ascii="Times New Roman" w:hAnsi="Times New Roman" w:eastAsia="標楷體"/>
          <w:b w:val="0"/>
          <w:sz w:val="24"/>
        </w:rPr>
        <w:t>循環地下水位變動下營運山岳鐵路隧道之襯砌損傷演化：跨尺度連續—離散數值研究</w:t>
      </w:r>
    </w:p>
    <w:p>
      <w:pPr>
        <w:ind w:left="360"/>
      </w:pPr>
      <w:r>
        <w:rPr>
          <w:rFonts w:ascii="Times New Roman" w:hAnsi="Times New Roman" w:eastAsia="標楷體"/>
          <w:b w:val="0"/>
          <w:sz w:val="22"/>
        </w:rPr>
        <w:t>此題以 damage 包含微損傷與裂縫群聚，以 numerical study 限定證據性質；「under」只描述研究情境，不預先宣告單因歸因。</w:t>
      </w:r>
      <w:r>
        <w:rPr>
          <w:rFonts w:ascii="Times New Roman" w:hAnsi="Times New Roman" w:eastAsia="標楷體"/>
          <w:b w:val="0"/>
          <w:sz w:val="22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0"/>
          <w:highlight w:val="yellow"/>
        </w:rPr>
        <w:t>【重點：目前最穩健：案例對象＋水文情境＋跨尺度數值範圍】</w:t>
      </w:r>
    </w:p>
    <w:p>
      <w:pPr>
        <w:ind w:left="360"/>
      </w:pPr>
      <w:r>
        <w:rPr>
          <w:rFonts w:ascii="Times New Roman" w:hAnsi="Times New Roman" w:eastAsia="標楷體"/>
          <w:b w:val="0"/>
          <w:sz w:val="22"/>
        </w:rPr>
        <w:t>備案 A（裂縫解析證據完成後）：Cross-scale numerical investigation of lining cracking in an operating mountain railway tunnel under cyclic groundwater-level fluctuations</w:t>
      </w:r>
    </w:p>
    <w:p>
      <w:pPr>
        <w:ind w:left="360"/>
      </w:pPr>
      <w:r>
        <w:rPr>
          <w:rFonts w:ascii="Times New Roman" w:hAnsi="Times New Roman" w:eastAsia="標楷體"/>
          <w:b w:val="0"/>
          <w:sz w:val="22"/>
        </w:rPr>
        <w:t>內部備忘（目前不建議作公開候選題目）：Threshold-sensitive time-dependent rock deformation and lining damage under prescribed groundwater-level cycles。此案仍把尚未獨立驗證的門檻機制提前升為主軸，且須避免與團隊 in-review 稿件共用 novelty 表述；只有外部已刊文獻與本文控制分析均能承擔時才重新評估。</w:t>
      </w:r>
    </w:p>
    <w:p>
      <w:r>
        <w:rPr>
          <w:rFonts w:ascii="Times New Roman" w:hAnsi="Times New Roman" w:eastAsia="標楷體"/>
          <w:b/>
          <w:color w:val="C00000"/>
          <w:sz w:val="24"/>
        </w:rPr>
        <w:t>【⚖ 待裁決】</w:t>
      </w:r>
      <w:r>
        <w:rPr>
          <w:rFonts w:ascii="Times New Roman" w:hAnsi="Times New Roman" w:eastAsia="標楷體"/>
          <w:b w:val="0"/>
          <w:sz w:val="24"/>
        </w:rPr>
        <w:t>先裁決文章核心是「案例—機制」或「雙向回饋方法」；在核心未定前不鎖死題目。</w:t>
      </w:r>
    </w:p>
    <w:p>
      <w:pPr>
        <w:pStyle w:val="Heading2"/>
      </w:pPr>
      <w:r>
        <w:rPr>
          <w:rFonts w:ascii="Times New Roman" w:hAnsi="Times New Roman" w:eastAsia="標楷體"/>
          <w:b/>
          <w:sz w:val="28"/>
        </w:rPr>
        <w:t>二、候選賣點（依目前可守程度排序）</w:t>
      </w:r>
    </w:p>
    <w:p>
      <w:pPr>
        <w:ind w:left="360"/>
      </w:pPr>
      <w:r>
        <w:rPr>
          <w:rFonts w:ascii="Times New Roman" w:hAnsi="Times New Roman" w:eastAsia="標楷體"/>
          <w:b w:val="0"/>
          <w:sz w:val="24"/>
        </w:rPr>
        <w:t>核心 1｜案例導向的工程問題：以營運山岳鐵路隧道之多期 LiDAR／異狀展開圖、裂縫計、修復履歷、水位與地質調查作為幾何、參數來源及病害分區背景。案例資料用於 case grounding 與區域層級比較，不宣稱已完成水文因果閉合。</w:t>
      </w:r>
      <w:r>
        <w:rPr>
          <w:rFonts w:ascii="Times New Roman" w:hAnsi="Times New Roman" w:eastAsia="標楷體"/>
          <w:b w:val="0"/>
          <w:sz w:val="24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2"/>
          <w:highlight w:val="yellow"/>
        </w:rPr>
        <w:t>【重點：避免「唯一性」；強調資料組合與研究可追溯性】</w:t>
      </w:r>
    </w:p>
    <w:p>
      <w:pPr>
        <w:ind w:left="360"/>
      </w:pPr>
      <w:r>
        <w:rPr>
          <w:rFonts w:ascii="Times New Roman" w:hAnsi="Times New Roman" w:eastAsia="標楷體"/>
          <w:b w:val="0"/>
          <w:sz w:val="24"/>
        </w:rPr>
        <w:t>核心 2｜跨尺度整合：把坡地尺度地下水與依時反應、隧道近場傳遞及襯砌 BPM 微損傷放入同一案例導向數值鏈，並以 Kabsch 剛體扣除與應變一致性檢核控制尺度轉移。前人文獻可分段支持各環節，但尚不能替本文背書整條因果鏈。</w:t>
      </w:r>
      <w:r>
        <w:rPr>
          <w:rFonts w:ascii="Times New Roman" w:hAnsi="Times New Roman" w:eastAsia="標楷體"/>
          <w:b w:val="0"/>
          <w:sz w:val="24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2"/>
          <w:highlight w:val="yellow"/>
        </w:rPr>
        <w:t>【重點：賣點是整合分散機理，不是首次 FLAC–PFC 耦合】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方法術語固定分層：05 的尺度串接稱 cross-scale one-way state transfer；PFC–FLAC 同一模型內的接觸互作稱 continuum–discrete wall-interface coupling；06 的跨交換節點更新稱 externally staggered／partitioned damage–stiffness feedback。三者不可統稱為雙向耦合。</w:t>
      </w:r>
    </w:p>
    <w:p>
      <w:pPr>
        <w:ind w:left="360"/>
      </w:pPr>
      <w:r>
        <w:rPr>
          <w:rFonts w:ascii="Times New Roman" w:hAnsi="Times New Roman" w:eastAsia="標楷體"/>
          <w:b w:val="0"/>
          <w:sz w:val="24"/>
        </w:rPr>
        <w:t>核心 3｜相位相依的數值損傷節律：在 prescribed 100 m 放大水位情境與既定門檻模型下，濕窗微損傷事件率與初始乾窗事件率之比 A_wet=7.0，退水後時窗與濕窗事件率之比 A_frz=0.0046。兩者是模型內相位比較指標，不代表現地季節性損傷倍率；「退水後凍結」只作機制描述，不代表材料完全停止破壞。</w:t>
      </w:r>
      <w:r>
        <w:rPr>
          <w:rFonts w:ascii="Times New Roman" w:hAnsi="Times New Roman" w:eastAsia="標楷體"/>
          <w:b w:val="0"/>
          <w:sz w:val="24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2"/>
          <w:highlight w:val="yellow"/>
        </w:rPr>
        <w:t>【重點：可報倍率，但必須附定義、分母、情境與模型適用域】</w:t>
      </w:r>
    </w:p>
    <w:p>
      <w:pPr>
        <w:ind w:left="360"/>
      </w:pPr>
      <w:r>
        <w:rPr>
          <w:rFonts w:ascii="Times New Roman" w:hAnsi="Times New Roman" w:eastAsia="標楷體"/>
          <w:b w:val="0"/>
          <w:sz w:val="24"/>
        </w:rPr>
        <w:t>核心 4｜顯式微損傷與空間型態：2.08M 可斷鍵 registry 可解析鍵結破壞事件及其環／斜／縱群聚；與現地只能比較高異常帶、空間分區與型態語言，不做逐裂縫吻合。單一斷鍵稱 microdamage，經聚類與幾何重建後才稱工程裂縫。</w:t>
      </w:r>
      <w:r>
        <w:rPr>
          <w:rFonts w:ascii="Times New Roman" w:hAnsi="Times New Roman" w:eastAsia="標楷體"/>
          <w:b w:val="0"/>
          <w:sz w:val="24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2"/>
          <w:highlight w:val="yellow"/>
        </w:rPr>
        <w:t>【重點：BPM 斷鍵不是裂縫寬度，也不是未經率定的 RC 服務行為】</w:t>
      </w:r>
    </w:p>
    <w:p>
      <w:pPr>
        <w:ind w:left="360"/>
      </w:pPr>
      <w:r>
        <w:rPr>
          <w:rFonts w:ascii="Times New Roman" w:hAnsi="Times New Roman" w:eastAsia="標楷體"/>
          <w:b w:val="0"/>
          <w:sz w:val="24"/>
        </w:rPr>
        <w:t>探索 5｜外部分割式損傷—勁度回饋：06 建立由 PFC 損傷指標更新 FLAC shell 等效勁度的 26-step 流程。目前 T5 累積斷鍵數與單向 v6 相差 2.83 倍；因兩條流程尚未由同一時間跨度、同一交換節點設定的 L0 無回饋控制鏈配對，Eeff(D)、交換間隔及 timestep 敏感度亦未完成，本文不把此差異定義成回饋放大倍率。</w:t>
      </w:r>
      <w:r>
        <w:rPr>
          <w:rFonts w:ascii="Times New Roman" w:hAnsi="Times New Roman" w:eastAsia="標楷體"/>
          <w:b w:val="0"/>
          <w:sz w:val="24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2"/>
          <w:highlight w:val="yellow"/>
        </w:rPr>
        <w:t>【重點：06 目前放 Discussion／exploratory；完成控制與敏感度後再決定是否升格】</w:t>
      </w:r>
    </w:p>
    <w:p>
      <w:pPr>
        <w:pStyle w:val="Heading2"/>
      </w:pPr>
      <w:r>
        <w:rPr>
          <w:rFonts w:ascii="Times New Roman" w:hAnsi="Times New Roman" w:eastAsia="標楷體"/>
          <w:b/>
          <w:sz w:val="28"/>
        </w:rPr>
        <w:t>三、材料與證據角色</w:t>
      </w:r>
    </w:p>
    <w:tbl>
      <w:tblPr>
        <w:tblStyle w:val="TableGrid"/>
        <w:tblW w:type="dxa" w:w="9548"/>
        <w:jc w:val="center"/>
        <w:tblLayout w:type="fixed"/>
        <w:tblLook w:firstColumn="1" w:firstRow="1" w:lastColumn="0" w:lastRow="0" w:noHBand="0" w:noVBand="1" w:val="04A0"/>
        <w:tblInd w:w="100" w:type="dxa"/>
      </w:tblPr>
      <w:tblGrid>
        <w:gridCol w:w="1781"/>
        <w:gridCol w:w="3776"/>
        <w:gridCol w:w="3991"/>
      </w:tblGrid>
      <w:tr>
        <w:trPr>
          <w:tblHeader/>
        </w:trPr>
        <w:tc>
          <w:tcPr>
            <w:tcW w:type="dxa" w:w="17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/>
                <w:sz w:val="19"/>
              </w:rPr>
              <w:t>材料</w:t>
            </w:r>
          </w:p>
        </w:tc>
        <w:tc>
          <w:tcPr>
            <w:tcW w:type="dxa" w:w="377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/>
                <w:sz w:val="19"/>
              </w:rPr>
              <w:t>在文章中的角色</w:t>
            </w:r>
          </w:p>
        </w:tc>
        <w:tc>
          <w:tcPr>
            <w:tcW w:type="dxa" w:w="39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/>
                <w:sz w:val="19"/>
              </w:rPr>
              <w:t>現階段可主張／限制</w:t>
            </w:r>
          </w:p>
        </w:tc>
      </w:tr>
      <w:tr>
        <w:trPr>
          <w:cantSplit/>
        </w:trPr>
        <w:tc>
          <w:tcPr>
            <w:tcW w:type="dxa" w:w="17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現地病害與履歷</w:t>
            </w:r>
          </w:p>
        </w:tc>
        <w:tc>
          <w:tcPr>
            <w:tcW w:type="dxa" w:w="377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LiDAR 兩期、異狀展開圖三期、裂縫計與修復紀錄；界定案例及高異常區</w:t>
            </w:r>
          </w:p>
        </w:tc>
        <w:tc>
          <w:tcPr>
            <w:tcW w:type="dxa" w:w="39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可支持病害存在與分區；不可單獨證明地下水成因或逐裂縫驗證</w:t>
            </w:r>
          </w:p>
        </w:tc>
      </w:tr>
      <w:tr>
        <w:trPr>
          <w:cantSplit/>
        </w:trPr>
        <w:tc>
          <w:tcPr>
            <w:tcW w:type="dxa" w:w="17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現地水文與坡體資料</w:t>
            </w:r>
          </w:p>
        </w:tc>
        <w:tc>
          <w:tcPr>
            <w:tcW w:type="dxa" w:w="377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界定觀測水位範圍、事件時序與可能外部驅動</w:t>
            </w:r>
          </w:p>
        </w:tc>
        <w:tc>
          <w:tcPr>
            <w:tcW w:type="dxa" w:w="39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約 30 m 現地資訊與 100 m 數值情境必須分欄；缺同步資料時只作背景／邊界條件</w:t>
            </w:r>
          </w:p>
        </w:tc>
      </w:tr>
      <w:tr>
        <w:trPr>
          <w:cantSplit/>
        </w:trPr>
        <w:tc>
          <w:tcPr>
            <w:tcW w:type="dxa" w:w="17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地質與試驗</w:t>
            </w:r>
          </w:p>
        </w:tc>
        <w:tc>
          <w:tcPr>
            <w:tcW w:type="dxa" w:w="377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三尺度幾何、地層與參數 provenance；鑽探及室內試驗來源</w:t>
            </w:r>
          </w:p>
        </w:tc>
        <w:tc>
          <w:tcPr>
            <w:tcW w:type="dxa" w:w="39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所有採用值須列來源、轉換與適用尺度；K0、滲透率及門檻另列敏感度</w:t>
            </w:r>
          </w:p>
        </w:tc>
      </w:tr>
      <w:tr>
        <w:trPr>
          <w:cantSplit/>
        </w:trPr>
        <w:tc>
          <w:tcPr>
            <w:tcW w:type="dxa" w:w="17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05 單向鏈</w:t>
            </w:r>
          </w:p>
        </w:tc>
        <w:tc>
          <w:tcPr>
            <w:tcW w:type="dxa" w:w="377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文章目前最成熟的主要數值材料；130 天、11 階段、尺度傳遞與襯砌微損傷</w:t>
            </w:r>
          </w:p>
        </w:tc>
        <w:tc>
          <w:tcPr>
            <w:tcW w:type="dxa" w:w="39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可支持相對趨勢與空間機制；f=0.25、100 m 情境與 timestep 限制須前置</w:t>
            </w:r>
          </w:p>
        </w:tc>
      </w:tr>
      <w:tr>
        <w:trPr>
          <w:cantSplit/>
        </w:trPr>
        <w:tc>
          <w:tcPr>
            <w:tcW w:type="dxa" w:w="17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BPM 率定與 QA</w:t>
            </w:r>
          </w:p>
        </w:tc>
        <w:tc>
          <w:tcPr>
            <w:tcW w:type="dxa" w:w="377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E、ν、UCS、巴西抗張、破壞型態、起裂門檻、registry 與聚類規則</w:t>
            </w:r>
          </w:p>
        </w:tc>
        <w:tc>
          <w:tcPr>
            <w:tcW w:type="dxa" w:w="39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投稿前應彙成可重現證據；未配筋模型不得稱為完整鋼筋混凝土襯砌</w:t>
            </w:r>
          </w:p>
        </w:tc>
      </w:tr>
      <w:tr>
        <w:trPr>
          <w:cantSplit/>
        </w:trPr>
        <w:tc>
          <w:tcPr>
            <w:tcW w:type="dxa" w:w="17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06 分割式回饋</w:t>
            </w:r>
          </w:p>
        </w:tc>
        <w:tc>
          <w:tcPr>
            <w:tcW w:type="dxa" w:w="377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探索開裂—軟化—再分配的正回饋可能性</w:t>
            </w:r>
          </w:p>
        </w:tc>
        <w:tc>
          <w:tcPr>
            <w:tcW w:type="dxa" w:w="39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L0、Eeff(D)、交換間隔與 timestep 對照完成前不作壽命或絕對放大預測</w:t>
            </w:r>
          </w:p>
        </w:tc>
      </w:tr>
      <w:tr>
        <w:trPr>
          <w:cantSplit/>
        </w:trPr>
        <w:tc>
          <w:tcPr>
            <w:tcW w:type="dxa" w:w="17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57 篇文獻庫</w:t>
            </w:r>
          </w:p>
        </w:tc>
        <w:tc>
          <w:tcPr>
            <w:tcW w:type="dxa" w:w="377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分段支撐水力、循環路徑、依時變形、坡隧互制、裂縫與耦合方法</w:t>
            </w:r>
          </w:p>
        </w:tc>
        <w:tc>
          <w:tcPr>
            <w:tcW w:type="dxa" w:w="39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A/B 全文可承擔核心論證；B* 只作團隊系譜；C 摘要級僅作背景或待查線索</w:t>
            </w:r>
          </w:p>
        </w:tc>
      </w:tr>
    </w:tbl>
    <w:p>
      <w:pPr>
        <w:pStyle w:val="Heading2"/>
      </w:pPr>
      <w:r>
        <w:rPr>
          <w:rFonts w:ascii="Times New Roman" w:hAnsi="Times New Roman" w:eastAsia="標楷體"/>
          <w:b/>
          <w:sz w:val="28"/>
        </w:rPr>
        <w:t>四、建議的文章策略與待討論事項</w:t>
      </w:r>
    </w:p>
    <w:p>
      <w:r>
        <w:rPr>
          <w:rFonts w:ascii="Times New Roman" w:hAnsi="Times New Roman" w:eastAsia="標楷體"/>
          <w:b w:val="0"/>
          <w:sz w:val="24"/>
        </w:rPr>
        <w:t>現階段建議以「案例—機制型」為主：05 為 Results 主體，06 以 exploratory subsection 放入 Discussion。若 L0、Eeff(D) 與敏感度完成且結果穩健，再考慮把雙向回饋升為核心，或另形成方法型文章。</w:t>
      </w:r>
      <w:r>
        <w:rPr>
          <w:rFonts w:ascii="Times New Roman" w:hAnsi="Times New Roman" w:eastAsia="標楷體"/>
          <w:b w:val="0"/>
          <w:sz w:val="24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2"/>
          <w:highlight w:val="yellow"/>
        </w:rPr>
        <w:t>【重點：先讓最成熟的證據承擔主文，避免最弱假設控制整篇審查】</w:t>
      </w:r>
    </w:p>
    <w:p>
      <w:pPr>
        <w:pStyle w:val="ListBullet"/>
      </w:pPr>
      <w:r>
        <w:rPr>
          <w:rFonts w:ascii="Times New Roman" w:hAnsi="Times New Roman" w:eastAsia="標楷體"/>
          <w:b w:val="0"/>
          <w:sz w:val="22"/>
        </w:rPr>
        <w:t>門檻 T 的物理意義、定準方法與尺度差異</w:t>
      </w:r>
    </w:p>
    <w:p>
      <w:pPr>
        <w:pStyle w:val="ListBullet"/>
      </w:pPr>
      <w:r>
        <w:rPr>
          <w:rFonts w:ascii="Times New Roman" w:hAnsi="Times New Roman" w:eastAsia="標楷體"/>
          <w:b w:val="0"/>
          <w:sz w:val="22"/>
        </w:rPr>
        <w:t>現地水位資訊與 100 m 放大情境的分離及合理用途</w:t>
      </w:r>
    </w:p>
    <w:p>
      <w:pPr>
        <w:pStyle w:val="ListBullet"/>
      </w:pPr>
      <w:r>
        <w:rPr>
          <w:rFonts w:ascii="Times New Roman" w:hAnsi="Times New Roman" w:eastAsia="標楷體"/>
          <w:b w:val="0"/>
          <w:sz w:val="22"/>
        </w:rPr>
        <w:t>f=0.25、PFC timestep scaling 與 trend-level interpretation</w:t>
      </w:r>
    </w:p>
    <w:p>
      <w:pPr>
        <w:pStyle w:val="ListBullet"/>
      </w:pPr>
      <w:r>
        <w:rPr>
          <w:rFonts w:ascii="Times New Roman" w:hAnsi="Times New Roman" w:eastAsia="標楷體"/>
          <w:b w:val="0"/>
          <w:sz w:val="22"/>
        </w:rPr>
        <w:t>現地—模擬比較只到分區／型態／方向，不到單一裂縫</w:t>
      </w:r>
    </w:p>
    <w:p>
      <w:pPr>
        <w:pStyle w:val="ListBullet"/>
      </w:pPr>
      <w:r>
        <w:rPr>
          <w:rFonts w:ascii="Times New Roman" w:hAnsi="Times New Roman" w:eastAsia="標楷體"/>
          <w:b w:val="0"/>
          <w:sz w:val="22"/>
        </w:rPr>
        <w:t>若保留維護意涵，須把斷鍵轉譯成裂縫密度、位置與監測指標，而非直接提出管理門檻</w:t>
      </w:r>
    </w:p>
    <w:p>
      <w:r>
        <w:rPr>
          <w:rFonts w:ascii="Times New Roman" w:hAnsi="Times New Roman" w:eastAsia="標楷體"/>
          <w:b/>
          <w:color w:val="C00000"/>
          <w:sz w:val="24"/>
        </w:rPr>
        <w:t>【⚖ 待裁決】</w:t>
      </w:r>
      <w:r>
        <w:rPr>
          <w:rFonts w:ascii="Times New Roman" w:hAnsi="Times New Roman" w:eastAsia="標楷體"/>
          <w:b w:val="0"/>
          <w:sz w:val="24"/>
        </w:rPr>
        <w:t>請 Wade 看完後裁決：①主軸是否採案例—機制型；②題目首選／備案；③06 保留探索性或補證後升格。</w:t>
      </w:r>
    </w:p>
    <w:sectPr w:rsidR="00FC693F" w:rsidRPr="0006063C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 w:eastAsia="標楷體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Times New Roman" w:hAnsi="Times New Roman" w:eastAsia="標楷體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Times New Roman" w:hAnsi="Times New Roman" w:eastAsia="標楷體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Times New Roman" w:hAnsi="Times New Roman" w:eastAsia="標楷體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