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標楷體"/>
          <w:b/>
          <w:sz w:val="32"/>
        </w:rPr>
        <w:t>文章題目、賣點、材料（Codex 證據邊界批改版；2026-07-24）</w:t>
      </w:r>
    </w:p>
    <w:p>
      <w:r>
        <w:rPr>
          <w:rFonts w:ascii="Times New Roman" w:hAnsi="Times New Roman" w:eastAsia="標楷體"/>
          <w:b w:val="0"/>
          <w:sz w:val="22"/>
        </w:rPr>
        <w:t>本頁依 57 篇主庫、現有全文／摘要層級、05 單向定版成果及 06 階段性成果重新校準。原架構中可用的案例主軸與跨尺度方法予以保留；涉及現地因果、裂縫驗證、雙向回饋與時間尺度者，改成與現有證據相稱的語氣。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【重點：本頁是討論稿，不是定版題目；所有主張須能回指 observation、scenario input 或 numerical evidence】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一、工作題目（未定版）</w:t>
      </w:r>
    </w:p>
    <w:p>
      <w:r>
        <w:rPr>
          <w:rFonts w:ascii="Times New Roman" w:hAnsi="Times New Roman" w:eastAsia="標楷體"/>
          <w:b w:val="0"/>
          <w:sz w:val="24"/>
        </w:rPr>
        <w:t>現地資料可支持病害存在、多期變化及高異常區分布，但目前不足以單獨證明地下水循環是裂縫的唯一或直接成因；數值水位變幅亦包含 100 m 放大情境。因此題目宜使用 under、numerical study 或 numerical investigation，暫不使用 driven by、influenced by、the driving mechanism。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【重點：題目要同時揭露水文情境與數值研究屬性，避免把數值機制寫成已完成的現地因果】</w:t>
      </w:r>
    </w:p>
    <w:p>
      <w:r>
        <w:rPr>
          <w:rFonts w:ascii="Times New Roman" w:hAnsi="Times New Roman" w:eastAsia="標楷體"/>
          <w:b/>
          <w:sz w:val="24"/>
        </w:rPr>
        <w:t>建議首選：</w:t>
      </w:r>
    </w:p>
    <w:p>
      <w:pPr>
        <w:ind w:left="360"/>
      </w:pPr>
      <w:r>
        <w:rPr>
          <w:rFonts w:ascii="Times New Roman" w:hAnsi="Times New Roman" w:eastAsia="標楷體"/>
          <w:b/>
          <w:sz w:val="24"/>
        </w:rPr>
        <w:t>Lining damage evolution in an operating mountain railway tunnel under cyclic groundwater-level fluctuations: A cross-scale continuum-discrete numerical study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循環地下水位變動下營運山岳鐵路隧道之襯砌損傷演化：跨尺度連續—離散數值研究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此題以 damage 包含微損傷與裂縫群聚，以 numerical study 限定證據性質；「under」只描述研究情境，不預先宣告單因歸因。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【重點：目前最穩健：案例對象＋水文情境＋跨尺度數值範圍】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備案 A（裂縫解析證據完成後）：Cross-scale numerical investigation of lining cracking in an operating mountain railway tunnel under cyclic groundwater-level fluctuations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內部備忘（目前不建議作公開候選題目）：Threshold-sensitive time-dependent rock deformation and lining damage under prescribed groundwater-level cycles。此案仍把尚未獨立驗證的門檻機制提前升為主軸，且須避免與團隊 in-review 稿件共用 novelty 表述；只有外部已刊文獻與本文控制分析均能承擔時才重新評估。</w:t>
      </w:r>
    </w:p>
    <w:p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先裁決文章核心是「案例—機制」或「雙向回饋方法」；在核心未定前不鎖死題目。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二、候選賣點（依目前可守程度排序）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核心 1｜案例導向的工程問題：以營運山岳鐵路隧道之多期 LiDAR／異狀展開圖、裂縫計、修復履歷、水位與地質調查作為幾何、參數來源及病害分區背景。案例資料用於 case grounding 與區域層級比較，不宣稱已完成水文因果閉合。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【重點：避免「唯一性」；強調資料組合與研究可追溯性】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核心 2｜跨尺度整合：把坡地尺度地下水與依時反應、隧道近場傳遞及襯砌 BPM 微損傷放入同一案例導向數值鏈，並以 Kabsch 剛體扣除與應變一致性檢核控制尺度轉移。前人文獻可分段支持各環節，但尚不能替本文背書整條因果鏈。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【重點：賣點是整合分散機理，不是首次 FLAC–PFC 耦合】</w:t>
      </w:r>
    </w:p>
    <w:p>
      <w:pPr>
        <w:ind w:left="360"/>
      </w:pPr>
      <w:r>
        <w:rPr>
          <w:rFonts w:ascii="Times New Roman" w:hAnsi="Times New Roman" w:eastAsia="標楷體"/>
          <w:b w:val="0"/>
          <w:sz w:val="21"/>
        </w:rPr>
        <w:t>方法術語固定分層：05 的尺度串接稱 cross-scale one-way state transfer；PFC–FLAC 同一模型內的接觸互作稱 continuum–discrete wall-interface coupling；06 的跨交換節點更新稱 externally staggered／partitioned damage–stiffness feedback。三者不可統稱為雙向耦合。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核心 3｜相位相依的數值損傷節律：在 prescribed 100 m 放大水位情境與既定門檻模型下，濕窗微損傷事件率與初始乾窗事件率之比 A_wet=7.0，退水後時窗與濕窗事件率之比 A_frz=0.0046。兩者是模型內相位比較指標，不代表現地季節性損傷倍率；「退水後凍結」只作機制描述，不代表材料完全停止破壞。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【重點：可報倍率，但必須附定義、分母、情境與模型適用域】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核心 4｜顯式微損傷與空間型態：2.08M 可斷鍵 registry 可解析鍵結破壞事件及其環／斜／縱群聚；與現地只能比較高異常帶、空間分區與型態語言，不做逐裂縫吻合。單一斷鍵稱 microdamage，經聚類與幾何重建後才稱工程裂縫。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【重點：BPM 斷鍵不是裂縫寬度，也不是未經率定的 RC 服務行為】</w:t>
      </w:r>
    </w:p>
    <w:p>
      <w:pPr>
        <w:ind w:left="360"/>
      </w:pPr>
      <w:r>
        <w:rPr>
          <w:rFonts w:ascii="Times New Roman" w:hAnsi="Times New Roman" w:eastAsia="標楷體"/>
          <w:b w:val="0"/>
          <w:sz w:val="24"/>
        </w:rPr>
        <w:t>探索 5｜外部分割式損傷—勁度回饋：06 建立由 PFC 損傷指標更新 FLAC shell 等效勁度的 26-step 流程。目前 T5 累積斷鍵數與單向 v6 相差 2.83 倍；因兩條流程尚未由同一時間跨度、同一交換節點設定的 L0 無回饋控制鏈配對，Eeff(D)、交換間隔及 timestep 敏感度亦未完成，本文不把此差異定義成回饋放大倍率。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【重點：06 目前放 Discussion／exploratory；完成控制與敏感度後再決定是否升格】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三、材料與證據角色</w:t>
      </w:r>
    </w:p>
    <w:tbl>
      <w:tblPr>
        <w:tblStyle w:val="TableGrid"/>
        <w:tblW w:type="dxa" w:w="9548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781"/>
        <w:gridCol w:w="3776"/>
        <w:gridCol w:w="3991"/>
      </w:tblGrid>
      <w:tr>
        <w:trPr>
          <w:tblHeader/>
        </w:trPr>
        <w:tc>
          <w:tcPr>
            <w:tcW w:type="dxa" w:w="17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材料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在文章中的角色</w:t>
            </w:r>
          </w:p>
        </w:tc>
        <w:tc>
          <w:tcPr>
            <w:tcW w:type="dxa" w:w="3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現階段可主張／限制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現地病害與履歷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LiDAR 兩期、異狀展開圖三期、裂縫計與修復紀錄；界定案例及高異常區</w:t>
            </w:r>
          </w:p>
        </w:tc>
        <w:tc>
          <w:tcPr>
            <w:tcW w:type="dxa" w:w="3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可支持病害存在與分區；不可單獨證明地下水成因或逐裂縫驗證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現地水文與坡體資料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界定觀測水位範圍、事件時序與可能外部驅動</w:t>
            </w:r>
          </w:p>
        </w:tc>
        <w:tc>
          <w:tcPr>
            <w:tcW w:type="dxa" w:w="3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約 30 m 現地資訊與 100 m 數值情境必須分欄；缺同步資料時只作背景／邊界條件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地質與試驗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三尺度幾何、地層與參數 provenance；鑽探及室內試驗來源</w:t>
            </w:r>
          </w:p>
        </w:tc>
        <w:tc>
          <w:tcPr>
            <w:tcW w:type="dxa" w:w="3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所有採用值須列來源、轉換與適用尺度；K0、滲透率及門檻另列敏感度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05 單向鏈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文章目前最成熟的主要數值材料；130 天、11 階段、尺度傳遞與襯砌微損傷</w:t>
            </w:r>
          </w:p>
        </w:tc>
        <w:tc>
          <w:tcPr>
            <w:tcW w:type="dxa" w:w="3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可支持相對趨勢與空間機制；f=0.25、100 m 情境與 timestep 限制須前置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BPM 率定與 QA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E、ν、UCS、巴西抗張、破壞型態、起裂門檻、registry 與聚類規則</w:t>
            </w:r>
          </w:p>
        </w:tc>
        <w:tc>
          <w:tcPr>
            <w:tcW w:type="dxa" w:w="3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投稿前應彙成可重現證據；未配筋模型不得稱為完整鋼筋混凝土襯砌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06 分割式回饋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探索開裂—軟化—再分配的正回饋可能性</w:t>
            </w:r>
          </w:p>
        </w:tc>
        <w:tc>
          <w:tcPr>
            <w:tcW w:type="dxa" w:w="3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L0、Eeff(D)、交換間隔與 timestep 對照完成前不作壽命或絕對放大預測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57 篇文獻庫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分段支撐水力、循環路徑、依時變形、坡隧互制、裂縫與耦合方法</w:t>
            </w:r>
          </w:p>
        </w:tc>
        <w:tc>
          <w:tcPr>
            <w:tcW w:type="dxa" w:w="39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A/B 全文可承擔核心論證；B* 只作團隊系譜；C 摘要級僅作背景或待查線索</w:t>
            </w:r>
          </w:p>
        </w:tc>
      </w:tr>
    </w:tbl>
    <w:p>
      <w:pPr>
        <w:pStyle w:val="Heading2"/>
      </w:pPr>
      <w:r>
        <w:rPr>
          <w:rFonts w:ascii="Times New Roman" w:hAnsi="Times New Roman" w:eastAsia="標楷體"/>
          <w:b/>
          <w:sz w:val="28"/>
        </w:rPr>
        <w:t>四、建議的文章策略與待討論事項</w:t>
      </w:r>
    </w:p>
    <w:p>
      <w:r>
        <w:rPr>
          <w:rFonts w:ascii="Times New Roman" w:hAnsi="Times New Roman" w:eastAsia="標楷體"/>
          <w:b w:val="0"/>
          <w:sz w:val="24"/>
        </w:rPr>
        <w:t>現階段建議以「案例—機制型」為主：05 為 Results 主體，06 以 exploratory subsection 放入 Discussion。若 L0、Eeff(D) 與敏感度完成且結果穩健，再考慮把雙向回饋升為核心，或另形成方法型文章。</w:t>
      </w:r>
      <w:r>
        <w:rPr>
          <w:rFonts w:ascii="Times New Roman" w:hAnsi="Times New Roman" w:eastAsia="標楷體"/>
          <w:b w:val="0"/>
          <w:sz w:val="24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2"/>
          <w:highlight w:val="yellow"/>
        </w:rPr>
        <w:t>【重點：先讓最成熟的證據承擔主文，避免最弱假設控制整篇審查】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2"/>
        </w:rPr>
        <w:t>門檻 T 的物理意義、定準方法與尺度差異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2"/>
        </w:rPr>
        <w:t>現地水位資訊與 100 m 放大情境的分離及合理用途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2"/>
        </w:rPr>
        <w:t>f=0.25、PFC timestep scaling 與 trend-level interpretation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2"/>
        </w:rPr>
        <w:t>現地—模擬比較只到分區／型態／方向，不到單一裂縫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2"/>
        </w:rPr>
        <w:t>若保留維護意涵，須把斷鍵轉譯成裂縫密度、位置與監測指標，而非直接提出管理門檻</w:t>
      </w:r>
    </w:p>
    <w:p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請 Wade 看完後裁決：①主軸是否採案例—機制型；②題目首選／備案；③06 保留探索性或補證後升格。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