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標楷體"/>
          <w:b/>
          <w:sz w:val="32"/>
        </w:rPr>
        <w:t>全文圖表總覽（證據優先版：核心 12 圖＋條件式 3 圖＋5 表）</w:t>
      </w:r>
    </w:p>
    <w:p>
      <w:r>
        <w:rPr>
          <w:rFonts w:ascii="Times New Roman" w:hAnsi="Times New Roman" w:eastAsia="標楷體"/>
          <w:b w:val="0"/>
          <w:sz w:val="22"/>
        </w:rPr>
        <w:t>圖表不先追求數量，而要讓每一項核心主張都有專屬證據。</w:t>
      </w:r>
      <w:r>
        <w:rPr>
          <w:rFonts w:ascii="Times New Roman" w:hAnsi="Times New Roman" w:eastAsia="標楷體"/>
          <w:b w:val="0"/>
          <w:color w:val="C00000"/>
          <w:sz w:val="22"/>
        </w:rPr>
        <w:t>圖1–12</w:t>
      </w:r>
      <w:r>
        <w:rPr>
          <w:rFonts w:ascii="Times New Roman" w:hAnsi="Times New Roman" w:eastAsia="標楷體"/>
          <w:b w:val="0"/>
          <w:sz w:val="22"/>
        </w:rPr>
        <w:t xml:space="preserve"> 為目前文章主線；</w:t>
      </w:r>
      <w:r>
        <w:rPr>
          <w:rFonts w:ascii="Times New Roman" w:hAnsi="Times New Roman" w:eastAsia="標楷體"/>
          <w:b w:val="0"/>
          <w:color w:val="C00000"/>
          <w:sz w:val="22"/>
        </w:rPr>
        <w:t>圖13–15</w:t>
      </w:r>
      <w:r>
        <w:rPr>
          <w:rFonts w:ascii="Times New Roman" w:hAnsi="Times New Roman" w:eastAsia="標楷體"/>
          <w:b w:val="0"/>
          <w:sz w:val="22"/>
        </w:rPr>
        <w:t xml:space="preserve"> 只有在 L0、Eeff(D) 與敏感度完成後才升為正式圖。文獻系譜可濃縮入</w:t>
      </w:r>
      <w:r>
        <w:rPr>
          <w:rFonts w:ascii="Times New Roman" w:hAnsi="Times New Roman" w:eastAsia="標楷體"/>
          <w:b w:val="0"/>
          <w:color w:val="C00000"/>
          <w:sz w:val="22"/>
        </w:rPr>
        <w:t>圖4</w:t>
      </w:r>
      <w:r>
        <w:rPr>
          <w:rFonts w:ascii="Times New Roman" w:hAnsi="Times New Roman" w:eastAsia="標楷體"/>
          <w:b w:val="0"/>
          <w:sz w:val="22"/>
        </w:rPr>
        <w:t xml:space="preserve"> 的小面板或前言表，不另占一張主圖。</w:t>
      </w:r>
      <w:r>
        <w:rPr>
          <w:rFonts w:ascii="Times New Roman" w:hAnsi="Times New Roman" w:eastAsia="標楷體"/>
          <w:b w:val="0"/>
          <w:sz w:val="22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0"/>
          <w:highlight w:val="yellow"/>
        </w:rPr>
        <w:t>【重點：核心圖先閉合案例—輸入—方法—驗證—結果；06 圖不以既有成品自動取得主文席位】</w:t>
      </w:r>
    </w:p>
    <w:tbl>
      <w:tblPr>
        <w:tblStyle w:val="TableGrid"/>
        <w:tblW w:type="dxa" w:w="9548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784"/>
        <w:gridCol w:w="4133"/>
        <w:gridCol w:w="1211"/>
        <w:gridCol w:w="3420"/>
      </w:tblGrid>
      <w:tr>
        <w:trPr>
          <w:tblHeader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8"/>
              </w:rPr>
              <w:t>圖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8"/>
              </w:rPr>
              <w:t>核心訊息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8"/>
              </w:rPr>
              <w:t>狀態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8"/>
              </w:rPr>
              <w:t>素材／必要加工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圖1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場址、坡體、隧道曲線段與研究尺度的空間關係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需重繪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附圖95/96＋App5；統一座標與方向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圖2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現地病害證據：分期展開圖、LiDAR、裂縫計與修復事件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必補 provenance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每一時期、量測範圍與可比性須標清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圖3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現地水文 observation 與 100 m scenario input 分離呈現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必改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左：觀測／擬合；右：11-stage 情境及適用域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圖4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跨尺度 continuum→continuum→BPM 流程、交換量與證據邊界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必改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圖5-01＋5-05；06 回饋以虛線且標 exploratory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圖5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三尺度模型幾何、地層、邊界與網格／粒徑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可整併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圖5-02/03/04；標出共享區與輸出位置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圖6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水力—有效應力—門檻活化的模型內機制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可用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圖5-14；補變數定義與時間點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圖7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乾季—升水—濕峰—退水的跨尺度活化演化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可整併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圖5-08＋5-12；相同色階與三個關鍵時點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圖8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襯砌微損傷歷程與 A_wet/A_frz 定義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可用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圖5-15；標分母、stage duration 與 100 m scenario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圖9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外壓、內力、收斂與損傷位置之對應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需整併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圖5-16/17/18；避免只報極值不報位置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圖10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BPM 材料率定、CONTROL-0、registry 與聚類 QA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目前缺主圖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E/ν/UCS/ft、破壞型態、起裂與守恆／底噪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圖11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模擬微損傷群聚與現地病害的同座標分區／型態比較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必改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圖5-19＋現地圖；明標不是逐裂縫驗證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圖12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三維損傷群聚演化與主要空間帶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可用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圖5-20；caption 使用 damage cluster／reconstructed crack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圖13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06 分割式交錯回饋流程與 26-tick 狀態傳遞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條件式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FIG06-01；不用 strong coupling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圖14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同時段同交換節點 L0 vs T5、uniform-D vs mapped-D 與區間敏感度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尚未具備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L0、Eeff(D)、2.5/5/10-day 或可行替代對照</w:t>
            </w:r>
          </w:p>
        </w:tc>
      </w:tr>
      <w:tr>
        <w:trPr>
          <w:cantSplit/>
        </w:trPr>
        <w:tc>
          <w:tcPr>
            <w:tcW w:type="dxa" w:w="7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C00000"/>
                <w:sz w:val="17"/>
              </w:rPr>
              <w:t>圖15</w:t>
            </w:r>
          </w:p>
        </w:tc>
        <w:tc>
          <w:tcPr>
            <w:tcW w:type="dxa" w:w="41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可觀測量—數值指標—巡檢分區之工程轉譯</w:t>
            </w:r>
          </w:p>
        </w:tc>
        <w:tc>
          <w:tcPr>
            <w:tcW w:type="dxa" w:w="1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條件式</w:t>
            </w:r>
          </w:p>
        </w:tc>
        <w:tc>
          <w:tcPr>
            <w:tcW w:type="dxa" w:w="34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7"/>
              </w:rPr>
              <w:t>不用「損傷泵」當既定結論；需可執行指標</w:t>
            </w:r>
          </w:p>
        </w:tc>
      </w:tr>
    </w:tbl>
    <w:p/>
    <w:tbl>
      <w:tblPr>
        <w:tblStyle w:val="TableGrid"/>
        <w:tblW w:type="dxa" w:w="9548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855"/>
        <w:gridCol w:w="3491"/>
        <w:gridCol w:w="5202"/>
      </w:tblGrid>
      <w:tr>
        <w:trPr>
          <w:tblHeader/>
        </w:trPr>
        <w:tc>
          <w:tcPr>
            <w:tcW w:type="dxa" w:w="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表</w:t>
            </w:r>
          </w:p>
        </w:tc>
        <w:tc>
          <w:tcPr>
            <w:tcW w:type="dxa" w:w="34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內容</w:t>
            </w:r>
          </w:p>
        </w:tc>
        <w:tc>
          <w:tcPr>
            <w:tcW w:type="dxa" w:w="52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/>
                <w:sz w:val="19"/>
              </w:rPr>
              <w:t>必要欄位／用途</w:t>
            </w:r>
          </w:p>
        </w:tc>
      </w:tr>
      <w:tr>
        <w:trPr>
          <w:cantSplit/>
        </w:trPr>
        <w:tc>
          <w:tcPr>
            <w:tcW w:type="dxa" w:w="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008040"/>
                <w:sz w:val="18"/>
              </w:rPr>
              <w:t>表1</w:t>
            </w:r>
          </w:p>
        </w:tc>
        <w:tc>
          <w:tcPr>
            <w:tcW w:type="dxa" w:w="34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文獻證據矩陣</w:t>
            </w:r>
          </w:p>
        </w:tc>
        <w:tc>
          <w:tcPr>
            <w:tcW w:type="dxa" w:w="52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主題標籤＋方法＋論證角色＋A/B/B*/C；不含 this study 比較列</w:t>
            </w:r>
          </w:p>
        </w:tc>
      </w:tr>
      <w:tr>
        <w:trPr>
          <w:cantSplit/>
        </w:trPr>
        <w:tc>
          <w:tcPr>
            <w:tcW w:type="dxa" w:w="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008040"/>
                <w:sz w:val="18"/>
              </w:rPr>
              <w:t>表2</w:t>
            </w:r>
          </w:p>
        </w:tc>
        <w:tc>
          <w:tcPr>
            <w:tcW w:type="dxa" w:w="34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三尺度模型、參數與 provenance</w:t>
            </w:r>
          </w:p>
        </w:tc>
        <w:tc>
          <w:tcPr>
            <w:tcW w:type="dxa" w:w="52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數值、單位、來源、尺度轉換、使用模型、敏感度狀態</w:t>
            </w:r>
          </w:p>
        </w:tc>
      </w:tr>
      <w:tr>
        <w:trPr>
          <w:cantSplit/>
        </w:trPr>
        <w:tc>
          <w:tcPr>
            <w:tcW w:type="dxa" w:w="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008040"/>
                <w:sz w:val="18"/>
              </w:rPr>
              <w:t>表3</w:t>
            </w:r>
          </w:p>
        </w:tc>
        <w:tc>
          <w:tcPr>
            <w:tcW w:type="dxa" w:w="34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門檻、本構、BPM 率定與 QA</w:t>
            </w:r>
          </w:p>
        </w:tc>
        <w:tc>
          <w:tcPr>
            <w:tcW w:type="dxa" w:w="52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目標值、模擬值、誤差、試件、破壞型態、起裂與聚類門檻</w:t>
            </w:r>
          </w:p>
        </w:tc>
      </w:tr>
      <w:tr>
        <w:trPr>
          <w:cantSplit/>
        </w:trPr>
        <w:tc>
          <w:tcPr>
            <w:tcW w:type="dxa" w:w="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008040"/>
                <w:sz w:val="18"/>
              </w:rPr>
              <w:t>表4</w:t>
            </w:r>
          </w:p>
        </w:tc>
        <w:tc>
          <w:tcPr>
            <w:tcW w:type="dxa" w:w="34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現地證據與情境輸入矩陣</w:t>
            </w:r>
          </w:p>
        </w:tc>
        <w:tc>
          <w:tcPr>
            <w:tcW w:type="dxa" w:w="52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observation／inference／scenario input 分欄，避免證據層級混寫</w:t>
            </w:r>
          </w:p>
        </w:tc>
      </w:tr>
      <w:tr>
        <w:trPr>
          <w:cantSplit/>
        </w:trPr>
        <w:tc>
          <w:tcPr>
            <w:tcW w:type="dxa" w:w="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color w:val="008040"/>
                <w:sz w:val="18"/>
              </w:rPr>
              <w:t>表5</w:t>
            </w:r>
          </w:p>
        </w:tc>
        <w:tc>
          <w:tcPr>
            <w:tcW w:type="dxa" w:w="34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05、L0、T5 與敏感度對照</w:t>
            </w:r>
          </w:p>
        </w:tc>
        <w:tc>
          <w:tcPr>
            <w:tcW w:type="dxa" w:w="52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Times New Roman" w:hAnsi="Times New Roman" w:eastAsia="標楷體"/>
                <w:b w:val="0"/>
                <w:sz w:val="18"/>
              </w:rPr>
              <w:t>相同時間離散、位移、反力、D、斷鍵、分類、QA；L0 未完成前不定版</w:t>
            </w:r>
          </w:p>
        </w:tc>
      </w:tr>
    </w:tbl>
    <w:p>
      <w:r>
        <w:rPr>
          <w:rFonts w:ascii="Times New Roman" w:hAnsi="Times New Roman" w:eastAsia="標楷體"/>
          <w:b/>
          <w:color w:val="C00000"/>
          <w:sz w:val="24"/>
        </w:rPr>
        <w:t>【⚖ 待裁決】</w:t>
      </w:r>
      <w:r>
        <w:rPr>
          <w:rFonts w:ascii="Times New Roman" w:hAnsi="Times New Roman" w:eastAsia="標楷體"/>
          <w:b w:val="0"/>
          <w:sz w:val="24"/>
        </w:rPr>
        <w:t>先確認 12 張核心圖是否足以講完 05；06 三圖待控制組完成後再決定是否進主文。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標楷體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