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參考文獻補遺（2026-07-18 蒐集輪；02 原檔未動，待你批改後合併）</w:t>
      </w:r>
    </w:p>
    <w:p>
      <w:r>
        <w:rPr>
          <w:rFonts w:ascii="Times New Roman" w:hAnsi="Times New Roman" w:eastAsia="標楷體"/>
          <w:b w:val="0"/>
          <w:sz w:val="22"/>
        </w:rPr>
        <w:t>本輪新增＋複驗共 41 篇（Crossref 逐 DOI 驗證、零 MDPI）；主庫現況 56 篇、TUST 31 篇（55%）。完整清單見 refs/REFS_MASTER.md。</w:t>
      </w:r>
    </w:p>
    <w:p>
      <w:r>
        <w:rPr>
          <w:rFonts w:ascii="Times New Roman" w:hAnsi="Times New Roman" w:eastAsia="標楷體"/>
          <w:b/>
          <w:sz w:val="24"/>
        </w:rPr>
        <w:t>戰略要點（請特別過目）：</w:t>
      </w:r>
    </w:p>
    <w:p>
      <w:r>
        <w:rPr>
          <w:rFonts w:ascii="Times New Roman" w:hAnsi="Times New Roman" w:eastAsia="標楷體"/>
          <w:b w:val="0"/>
          <w:sz w:val="22"/>
        </w:rPr>
        <w:t>1. 邱雅筑・李佳翰・王泰典 (2017)。Lining crack evolution of an operational tunnel influenced by slope instability. TUST, 65, 167–178.（被引 94）——老師團隊的坡地–襯砌裂縫直系前身，建議 P1 與 P4 雙掛，系列定位比 2024 剝落指標更直接。</w:t>
      </w:r>
    </w:p>
    <w:p>
      <w:r>
        <w:rPr>
          <w:rFonts w:ascii="Times New Roman" w:hAnsi="Times New Roman" w:eastAsia="標楷體"/>
          <w:b w:val="0"/>
          <w:color w:val="C00000"/>
          <w:sz w:val="22"/>
        </w:rPr>
        <w:t>2. Causse, Cojean &amp; Fleurisson (2015)。Interaction between tunnel and unstable slope…time-dependent… TUST, 50, 270–281.（被引 44）——坡–隧依時互制先例存在，P4 缺口句須精準化為：『既有坡–隧互制研究未含水循環驅動、未及離散襯砌損傷、且皆單向』。誠實修正、防審更穩。</w:t>
      </w:r>
    </w:p>
    <w:p>
      <w:r>
        <w:rPr>
          <w:rFonts w:ascii="Times New Roman" w:hAnsi="Times New Roman" w:eastAsia="標楷體"/>
          <w:b w:val="0"/>
          <w:sz w:val="22"/>
        </w:rPr>
        <w:t>3. L3 耦合譜系補齊 9 篇：Lisjak 2015 (RMRE,109)、Vazaios 2019 (JRMGE,117)、Liu&amp;Sun 2019 (TUST,92)、Zhou 2024 (TUST FDM-DEM REV,62)、Bai 2022 (PFC3D-FLAC3D,52)、Wang Tuo 2020 (TUST,38)、Liu Chang 2023 (DEM 襯砌缺陷開裂,26=最近似我們的離散襯砌)、Rasmussen&amp;Min 2024 (TUST,12)、Bai 2025 (bridging,37)。</w:t>
      </w:r>
    </w:p>
    <w:p>
      <w:r>
        <w:rPr>
          <w:rFonts w:ascii="Times New Roman" w:hAnsi="Times New Roman" w:eastAsia="標楷體"/>
          <w:b w:val="0"/>
          <w:sz w:val="22"/>
        </w:rPr>
        <w:t>4. L6 標定正典：Potyondy &amp; Cundall 2004 (4,545 引)、Cho 2007 (1,014)、Yoon 2007 (521)、Potyondy 2015 綜述 (388)、Nitka &amp; Tejchman 2015 混凝土 DEM (158)、Peng 2017 粒徑比 (114)、Tsang 2023 自動標定 (10)。</w:t>
      </w:r>
    </w:p>
    <w:p>
      <w:r>
        <w:rPr>
          <w:rFonts w:ascii="Times New Roman" w:hAnsi="Times New Roman" w:eastAsia="標楷體"/>
          <w:b w:val="0"/>
          <w:sz w:val="22"/>
        </w:rPr>
        <w:t>5. C 級 16 篇全數複驗取得精確 DOI（含 Cai 2004=860 引、Sharifzadeh 2013=181、Sulem 1987=178、Paraskevopoulou 2018=167、Barla 2012=148、Yan 2020=124）。</w:t>
      </w:r>
    </w:p>
    <w:p>
      <w:r>
        <w:rPr>
          <w:rFonts w:ascii="Times New Roman" w:hAnsi="Times New Roman" w:eastAsia="標楷體"/>
          <w:b w:val="0"/>
          <w:sz w:val="22"/>
        </w:rPr>
        <w:t>6. 依「解析解砍」裁示：Nomikos/Do/Fahimifar 2010/Hu&amp;Gutierrez/Arora 等解析解家族不入主庫（留在你的 IJRMMS 藏書）；僅留 Sulem 1987（脈絡）＋Fahimifar 2009（水力解析解，供 Mitani 老師問題之量級對照）。</w:t>
      </w:r>
    </w:p>
    <w:p>
      <w:r>
        <w:rPr>
          <w:rFonts w:ascii="Times New Roman" w:hAnsi="Times New Roman" w:eastAsia="標楷體"/>
          <w:b/>
          <w:color w:val="C00000"/>
          <w:sz w:val="22"/>
        </w:rPr>
        <w:t>【⚖ 待裁決】</w:t>
      </w:r>
    </w:p>
    <w:p>
      <w:r>
        <w:rPr>
          <w:rFonts w:ascii="Times New Roman" w:hAnsi="Times New Roman" w:eastAsia="標楷體"/>
          <w:b w:val="0"/>
          <w:sz w:val="22"/>
        </w:rPr>
        <w:t>主庫 55 篇略多於 40–50 目標——建議刪 5–8 篇時優先動 L3/L6 低引或期刊等級較低者（Bai 2025 CPM、Tsang 2023、Jia 2023、Liu B 2022 IJMST…）；請圈刪或授權我依「引用次數×相關性×期刊等級」自裁。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