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 w:eastAsia="標楷體"/>
          <w:b/>
          <w:sz w:val="32"/>
        </w:rPr>
        <w:t>寫作工藝手冊（56 篇精讀萃取；本檔即文書規則示範）</w:t>
      </w:r>
    </w:p>
    <w:p>
      <w:r>
        <w:rPr>
          <w:rFonts w:ascii="Times New Roman" w:hAnsi="Times New Roman" w:eastAsia="標楷體"/>
          <w:b w:val="0"/>
          <w:sz w:val="22"/>
        </w:rPr>
        <w:t>來源：References/reading_notes/ 三份綜合報告（_SYN_title_anatomy／_SYN_intro_moves／_SYN_packaging），本手冊為落筆版摘要；細節與逐篇證據回查原檔。</w:t>
      </w:r>
      <w:r>
        <w:rPr>
          <w:rFonts w:ascii="Times New Roman" w:hAnsi="Times New Roman" w:eastAsia="標楷體"/>
          <w:b w:val="0"/>
          <w:sz w:val="22"/>
        </w:rPr>
        <w:t xml:space="preserve">　</w:t>
      </w:r>
      <w:r>
        <w:rPr>
          <w:rFonts w:ascii="Times New Roman" w:hAnsi="Times New Roman" w:eastAsia="標楷體"/>
          <w:b w:val="0"/>
          <w:color w:val="000000"/>
          <w:sz w:val="20"/>
          <w:highlight w:val="yellow"/>
        </w:rPr>
        <w:t>【重點：這一頁是「怎麼寫」的作戰卡，寫作時貼在螢幕邊】</w:t>
      </w:r>
    </w:p>
    <w:p>
      <w:r>
        <w:rPr>
          <w:rFonts w:ascii="Times New Roman" w:hAnsi="Times New Roman" w:eastAsia="標楷體"/>
          <w:b/>
          <w:sz w:val="28"/>
        </w:rPr>
        <w:t>一、題目工藝（56 題解剖）</w:t>
      </w:r>
    </w:p>
    <w:p>
      <w:r>
        <w:rPr>
          <w:rFonts w:ascii="Times New Roman" w:hAnsi="Times New Roman" w:eastAsia="標楷體"/>
          <w:b w:val="0"/>
          <w:sz w:val="24"/>
        </w:rPr>
        <w:t xml:space="preserve">病害機制賽道 11/11 零方法詞；案例匿名化 30/31；「driven by」樣本零出現、「influenced by」僅 </w:t>
      </w:r>
      <w:r>
        <w:rPr>
          <w:rFonts w:ascii="Times New Roman" w:hAnsi="Times New Roman" w:eastAsia="標楷體"/>
          <w:b w:val="0"/>
          <w:color w:val="1F4EC8"/>
          <w:sz w:val="24"/>
        </w:rPr>
        <w:t>(Chiu et al., 2017)</w:t>
      </w:r>
      <w:r>
        <w:rPr>
          <w:rFonts w:ascii="Times New Roman" w:hAnsi="Times New Roman" w:eastAsia="標楷體"/>
          <w:b w:val="0"/>
          <w:sz w:val="24"/>
        </w:rPr>
        <w:t xml:space="preserve"> 一例、「under+情境」80%+ 為壓倒性構式；自創機制詞入題＝佔定義權（non-Darcy、pipeline-type karst 前例）。</w:t>
      </w:r>
      <w:r>
        <w:rPr>
          <w:rFonts w:ascii="Times New Roman" w:hAnsi="Times New Roman" w:eastAsia="標楷體"/>
          <w:b w:val="0"/>
          <w:sz w:val="24"/>
        </w:rPr>
        <w:t xml:space="preserve">　</w:t>
      </w:r>
      <w:r>
        <w:rPr>
          <w:rFonts w:ascii="Times New Roman" w:hAnsi="Times New Roman" w:eastAsia="標楷體"/>
          <w:b w:val="0"/>
          <w:color w:val="000000"/>
          <w:sz w:val="22"/>
          <w:highlight w:val="yellow"/>
        </w:rPr>
        <w:t>【重點：題目零方法字＋under 構式＋機制詞佔位】</w:t>
      </w:r>
    </w:p>
    <w:p>
      <w:r>
        <w:rPr>
          <w:rFonts w:ascii="Times New Roman" w:hAnsi="Times New Roman" w:eastAsia="標楷體"/>
          <w:b/>
          <w:sz w:val="28"/>
        </w:rPr>
        <w:t>二、前言五段骨架（B 型雙支線＋二階二分法收束）</w:t>
      </w:r>
    </w:p>
    <w:p>
      <w:pPr>
        <w:ind w:left="360"/>
      </w:pPr>
      <w:r>
        <w:rPr>
          <w:rFonts w:ascii="Times New Roman" w:hAnsi="Times New Roman" w:eastAsia="標楷體"/>
          <w:b w:val="0"/>
          <w:sz w:val="22"/>
        </w:rPr>
        <w:t xml:space="preserve">P1 現象共識＋案例鉤子：共識句（襯砌裂縫=營運隧道最常見病害）→場景收窄（山岳鐵路×多雨×服役 N 年）→硬數字鉤子 1-2 個→維修反覆失效句 </w:t>
      </w:r>
      <w:r>
        <w:rPr>
          <w:rFonts w:ascii="Times New Roman" w:hAnsi="Times New Roman" w:eastAsia="標楷體"/>
          <w:b w:val="0"/>
          <w:color w:val="1F4EC8"/>
          <w:sz w:val="22"/>
        </w:rPr>
        <w:t>(Wang et al., 2023)</w:t>
      </w:r>
      <w:r>
        <w:rPr>
          <w:rFonts w:ascii="Times New Roman" w:hAnsi="Times New Roman" w:eastAsia="標楷體"/>
          <w:b w:val="0"/>
          <w:sz w:val="22"/>
        </w:rPr>
        <w:t>→需求收尾。全段零方法詞。</w:t>
      </w:r>
      <w:r>
        <w:rPr>
          <w:rFonts w:ascii="Times New Roman" w:hAnsi="Times New Roman" w:eastAsia="標楷體"/>
          <w:b w:val="0"/>
          <w:sz w:val="22"/>
        </w:rPr>
        <w:t xml:space="preserve">　</w:t>
      </w:r>
      <w:r>
        <w:rPr>
          <w:rFonts w:ascii="Times New Roman" w:hAnsi="Times New Roman" w:eastAsia="標楷體"/>
          <w:b w:val="0"/>
          <w:color w:val="000000"/>
          <w:sz w:val="20"/>
          <w:highlight w:val="yellow"/>
        </w:rPr>
        <w:t>【重點：P1 禁方法詞；鉤子要帶數字】</w:t>
      </w:r>
    </w:p>
    <w:p>
      <w:pPr>
        <w:ind w:left="360"/>
      </w:pPr>
      <w:r>
        <w:rPr>
          <w:rFonts w:ascii="Times New Roman" w:hAnsi="Times New Roman" w:eastAsia="標楷體"/>
          <w:b w:val="0"/>
          <w:sz w:val="22"/>
        </w:rPr>
        <w:t>P2 支線 A（襯砌裂縫研究）→第一刀：一句一人動詞鏈 4-8 筆（</w:t>
      </w:r>
      <w:r>
        <w:rPr>
          <w:rFonts w:ascii="Times New Roman" w:hAnsi="Times New Roman" w:eastAsia="標楷體"/>
          <w:b w:val="0"/>
          <w:color w:val="1F4EC8"/>
          <w:sz w:val="22"/>
        </w:rPr>
        <w:t>(Chiu et al., 2017)</w:t>
      </w:r>
      <w:r>
        <w:rPr>
          <w:rFonts w:ascii="Times New Roman" w:hAnsi="Times New Roman" w:eastAsia="標楷體"/>
          <w:b w:val="0"/>
          <w:color w:val="1F4EC8"/>
          <w:sz w:val="22"/>
        </w:rPr>
        <w:t>(Wang et al., 2024)</w:t>
      </w:r>
      <w:r>
        <w:rPr>
          <w:rFonts w:ascii="Times New Roman" w:hAnsi="Times New Roman" w:eastAsia="標楷體"/>
          <w:b w:val="0"/>
          <w:color w:val="1F4EC8"/>
          <w:sz w:val="22"/>
        </w:rPr>
        <w:t>(Chen et al., 2024)</w:t>
      </w:r>
      <w:r>
        <w:rPr>
          <w:rFonts w:ascii="Times New Roman" w:hAnsi="Times New Roman" w:eastAsia="標楷體"/>
          <w:b w:val="0"/>
          <w:color w:val="1F4EC8"/>
          <w:sz w:val="22"/>
        </w:rPr>
        <w:t>(Zhang et al., 2022)</w:t>
      </w:r>
      <w:r>
        <w:rPr>
          <w:rFonts w:ascii="Times New Roman" w:hAnsi="Times New Roman" w:eastAsia="標楷體"/>
          <w:b w:val="0"/>
          <w:sz w:val="22"/>
        </w:rPr>
        <w:t>…）→段尾缺口：既有成果多靜態/單調載重，水文驅動的時間演化未被檢視。缺口寫成「實務失效/認識缺口」型，不寫方法缺口。</w:t>
      </w:r>
      <w:r>
        <w:rPr>
          <w:rFonts w:ascii="Times New Roman" w:hAnsi="Times New Roman" w:eastAsia="標楷體"/>
          <w:b w:val="0"/>
          <w:sz w:val="22"/>
        </w:rPr>
        <w:t xml:space="preserve">　</w:t>
      </w:r>
      <w:r>
        <w:rPr>
          <w:rFonts w:ascii="Times New Roman" w:hAnsi="Times New Roman" w:eastAsia="標楷體"/>
          <w:b w:val="0"/>
          <w:color w:val="000000"/>
          <w:sz w:val="20"/>
          <w:highlight w:val="yellow"/>
        </w:rPr>
        <w:t>【重點：第一刀砍在認識缺口，不砍方法】</w:t>
      </w:r>
    </w:p>
    <w:p>
      <w:pPr>
        <w:ind w:left="360"/>
      </w:pPr>
      <w:r>
        <w:rPr>
          <w:rFonts w:ascii="Times New Roman" w:hAnsi="Times New Roman" w:eastAsia="標楷體"/>
          <w:b w:val="0"/>
          <w:sz w:val="22"/>
        </w:rPr>
        <w:t xml:space="preserve">P3 支線 B（水×隧道依時）→第二刀：三軌回顧（解析 </w:t>
      </w:r>
      <w:r>
        <w:rPr>
          <w:rFonts w:ascii="Times New Roman" w:hAnsi="Times New Roman" w:eastAsia="標楷體"/>
          <w:b w:val="0"/>
          <w:color w:val="1F4EC8"/>
          <w:sz w:val="22"/>
        </w:rPr>
        <w:t>(Fahimifar &amp; Zareifard, 2009)</w:t>
      </w:r>
      <w:r>
        <w:rPr>
          <w:rFonts w:ascii="Times New Roman" w:hAnsi="Times New Roman" w:eastAsia="標楷體"/>
          <w:b w:val="0"/>
          <w:sz w:val="22"/>
        </w:rPr>
        <w:t xml:space="preserve">／實驗 </w:t>
      </w:r>
      <w:r>
        <w:rPr>
          <w:rFonts w:ascii="Times New Roman" w:hAnsi="Times New Roman" w:eastAsia="標楷體"/>
          <w:b w:val="0"/>
          <w:color w:val="1F4EC8"/>
          <w:sz w:val="22"/>
        </w:rPr>
        <w:t>(Sun et al., 2023)</w:t>
      </w:r>
      <w:r>
        <w:rPr>
          <w:rFonts w:ascii="Times New Roman" w:hAnsi="Times New Roman" w:eastAsia="標楷體"/>
          <w:b w:val="0"/>
          <w:color w:val="1F4EC8"/>
          <w:sz w:val="22"/>
        </w:rPr>
        <w:t>(Li et al., 2021)</w:t>
      </w:r>
      <w:r>
        <w:rPr>
          <w:rFonts w:ascii="Times New Roman" w:hAnsi="Times New Roman" w:eastAsia="標楷體"/>
          <w:b w:val="0"/>
          <w:sz w:val="22"/>
        </w:rPr>
        <w:t xml:space="preserve">／案例 </w:t>
      </w:r>
      <w:r>
        <w:rPr>
          <w:rFonts w:ascii="Times New Roman" w:hAnsi="Times New Roman" w:eastAsia="標楷體"/>
          <w:b w:val="0"/>
          <w:color w:val="1F4EC8"/>
          <w:sz w:val="22"/>
        </w:rPr>
        <w:t>(Tarifard et al., 2022)</w:t>
      </w:r>
      <w:r>
        <w:rPr>
          <w:rFonts w:ascii="Times New Roman" w:hAnsi="Times New Roman" w:eastAsia="標楷體"/>
          <w:b w:val="0"/>
          <w:sz w:val="22"/>
        </w:rPr>
        <w:t>）→段尾雙短句：穩態假設×連續體極限。王牌證詞：</w:t>
      </w:r>
      <w:r>
        <w:rPr>
          <w:rFonts w:ascii="Times New Roman" w:hAnsi="Times New Roman" w:eastAsia="標楷體"/>
          <w:b w:val="0"/>
          <w:color w:val="1F4EC8"/>
          <w:sz w:val="22"/>
        </w:rPr>
        <w:t>(Wang et al., 2023)</w:t>
      </w:r>
      <w:r>
        <w:rPr>
          <w:rFonts w:ascii="Times New Roman" w:hAnsi="Times New Roman" w:eastAsia="標楷體"/>
          <w:b w:val="0"/>
          <w:sz w:val="22"/>
        </w:rPr>
        <w:t xml:space="preserve"> 自陳水是 root cause 但模型無水——同社群自指未解的落差。</w:t>
      </w:r>
      <w:r>
        <w:rPr>
          <w:rFonts w:ascii="Times New Roman" w:hAnsi="Times New Roman" w:eastAsia="標楷體"/>
          <w:b w:val="0"/>
          <w:sz w:val="22"/>
        </w:rPr>
        <w:t xml:space="preserve">　</w:t>
      </w:r>
      <w:r>
        <w:rPr>
          <w:rFonts w:ascii="Times New Roman" w:hAnsi="Times New Roman" w:eastAsia="標楷體"/>
          <w:b w:val="0"/>
          <w:color w:val="000000"/>
          <w:sz w:val="20"/>
          <w:highlight w:val="yellow"/>
        </w:rPr>
        <w:t>【重點：雙層下刀：情境缺口＋工具缺口分開砍】</w:t>
      </w:r>
    </w:p>
    <w:p>
      <w:pPr>
        <w:ind w:left="360"/>
      </w:pPr>
      <w:r>
        <w:rPr>
          <w:rFonts w:ascii="Times New Roman" w:hAnsi="Times New Roman" w:eastAsia="標楷體"/>
          <w:b w:val="0"/>
          <w:sz w:val="22"/>
        </w:rPr>
        <w:t>P4 方法系譜＋二階二分法收束：耦合已成熟（</w:t>
      </w:r>
      <w:r>
        <w:rPr>
          <w:rFonts w:ascii="Times New Roman" w:hAnsi="Times New Roman" w:eastAsia="標楷體"/>
          <w:b w:val="0"/>
          <w:color w:val="1F4EC8"/>
          <w:sz w:val="22"/>
        </w:rPr>
        <w:t>(Zhou et al., 2024)</w:t>
      </w:r>
      <w:r>
        <w:rPr>
          <w:rFonts w:ascii="Times New Roman" w:hAnsi="Times New Roman" w:eastAsia="標楷體"/>
          <w:b w:val="0"/>
          <w:color w:val="1F4EC8"/>
          <w:sz w:val="22"/>
        </w:rPr>
        <w:t>(Bai et al., 2022)</w:t>
      </w:r>
      <w:r>
        <w:rPr>
          <w:rFonts w:ascii="Times New Roman" w:hAnsi="Times New Roman" w:eastAsia="標楷體"/>
          <w:b w:val="0"/>
          <w:color w:val="1F4EC8"/>
          <w:sz w:val="22"/>
        </w:rPr>
        <w:t>(Lisjak et al., 2015)</w:t>
      </w:r>
      <w:r>
        <w:rPr>
          <w:rFonts w:ascii="Times New Roman" w:hAnsi="Times New Roman" w:eastAsia="標楷體"/>
          <w:b w:val="0"/>
          <w:color w:val="1F4EC8"/>
          <w:sz w:val="22"/>
        </w:rPr>
        <w:t>(Yan et al., 2023)</w:t>
      </w:r>
      <w:r>
        <w:rPr>
          <w:rFonts w:ascii="Times New Roman" w:hAnsi="Times New Roman" w:eastAsia="標楷體"/>
          <w:b w:val="0"/>
          <w:sz w:val="22"/>
        </w:rPr>
        <w:t xml:space="preserve">）→「既有耦合研究聚焦開挖期圍岩；少數及襯砌者僅單調載重。同時滿足（i）水位循環載重（ii）襯砌裂縫顯式解析（iii）跨尺度互制之框架仍闕如」。搭配 </w:t>
      </w:r>
      <w:r>
        <w:rPr>
          <w:rFonts w:ascii="Times New Roman" w:hAnsi="Times New Roman" w:eastAsia="標楷體"/>
          <w:b w:val="0"/>
          <w:color w:val="C00000"/>
          <w:sz w:val="22"/>
        </w:rPr>
        <w:t>圖4</w:t>
      </w:r>
      <w:r>
        <w:rPr>
          <w:rFonts w:ascii="Times New Roman" w:hAnsi="Times New Roman" w:eastAsia="標楷體"/>
          <w:b w:val="0"/>
          <w:sz w:val="22"/>
        </w:rPr>
        <w:t xml:space="preserve"> 系譜面板 This work 落點。</w:t>
      </w:r>
      <w:r>
        <w:rPr>
          <w:rFonts w:ascii="Times New Roman" w:hAnsi="Times New Roman" w:eastAsia="標楷體"/>
          <w:b w:val="0"/>
          <w:sz w:val="22"/>
        </w:rPr>
        <w:t xml:space="preserve">　</w:t>
      </w:r>
      <w:r>
        <w:rPr>
          <w:rFonts w:ascii="Times New Roman" w:hAnsi="Times New Roman" w:eastAsia="標楷體"/>
          <w:b w:val="0"/>
          <w:color w:val="000000"/>
          <w:sz w:val="20"/>
          <w:highlight w:val="yellow"/>
        </w:rPr>
        <w:t>【重點：三要素句框出唯一空格＝本文形狀】</w:t>
      </w:r>
    </w:p>
    <w:p>
      <w:pPr>
        <w:ind w:left="360"/>
      </w:pPr>
      <w:r>
        <w:rPr>
          <w:rFonts w:ascii="Times New Roman" w:hAnsi="Times New Roman" w:eastAsia="標楷體"/>
          <w:b w:val="0"/>
          <w:sz w:val="22"/>
        </w:rPr>
        <w:t>P5 貢獻宣告：To address this gap→案例錨定句（資料規格式：年數/期數/測點數）→方法鏈句→not only…but also 雙賣點句（機制揭示＋維養門檻）→機制鏈口號預告。不用 novel/first。</w:t>
      </w:r>
      <w:r>
        <w:rPr>
          <w:rFonts w:ascii="Times New Roman" w:hAnsi="Times New Roman" w:eastAsia="標楷體"/>
          <w:b w:val="0"/>
          <w:sz w:val="22"/>
        </w:rPr>
        <w:t xml:space="preserve">　</w:t>
      </w:r>
      <w:r>
        <w:rPr>
          <w:rFonts w:ascii="Times New Roman" w:hAnsi="Times New Roman" w:eastAsia="標楷體"/>
          <w:b w:val="0"/>
          <w:color w:val="000000"/>
          <w:sz w:val="20"/>
          <w:highlight w:val="yellow"/>
        </w:rPr>
        <w:t>【重點：not only…but also＝TUST 高頻貢獻句式】</w:t>
      </w:r>
    </w:p>
    <w:p>
      <w:r>
        <w:rPr>
          <w:rFonts w:ascii="Times New Roman" w:hAnsi="Times New Roman" w:eastAsia="標楷體"/>
          <w:b/>
          <w:sz w:val="28"/>
        </w:rPr>
        <w:t>三、缺陷包裝（十式精選＋我方六弱點對策）</w:t>
      </w:r>
    </w:p>
    <w:p>
      <w:r>
        <w:rPr>
          <w:rFonts w:ascii="Times New Roman" w:hAnsi="Times New Roman" w:eastAsia="標楷體"/>
          <w:b w:val="0"/>
          <w:sz w:val="24"/>
        </w:rPr>
        <w:t>樣本大發現：25 篇全文中僅 2 篇設獨立 limitations 節——主流是「就地消化」。</w:t>
      </w:r>
      <w:r>
        <w:rPr>
          <w:rFonts w:ascii="Times New Roman" w:hAnsi="Times New Roman" w:eastAsia="標楷體"/>
          <w:b w:val="0"/>
          <w:sz w:val="24"/>
        </w:rPr>
        <w:t xml:space="preserve">　</w:t>
      </w:r>
      <w:r>
        <w:rPr>
          <w:rFonts w:ascii="Times New Roman" w:hAnsi="Times New Roman" w:eastAsia="標楷體"/>
          <w:b w:val="0"/>
          <w:color w:val="000000"/>
          <w:sz w:val="22"/>
          <w:highlight w:val="yellow"/>
        </w:rPr>
        <w:t>【重點：不設 limitations 專節是常態】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 w:eastAsia="標楷體"/>
                <w:b/>
                <w:sz w:val="22"/>
              </w:rPr>
              <w:t>我方弱點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標楷體"/>
                <w:b/>
                <w:sz w:val="22"/>
              </w:rPr>
              <w:t>包裝式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標楷體"/>
                <w:b/>
                <w:sz w:val="22"/>
              </w:rPr>
              <w:t>落筆要領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標楷體"/>
                <w:b w:val="0"/>
                <w:sz w:val="21"/>
              </w:rPr>
              <w:t>f=0.25 縮尺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標楷體"/>
                <w:b w:val="0"/>
                <w:sz w:val="21"/>
              </w:rPr>
              <w:t>A1 假設前置＋A4 趨勢級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標楷體"/>
                <w:b w:val="0"/>
                <w:sz w:val="21"/>
              </w:rPr>
              <w:t xml:space="preserve">方法節前置宣告 trend-level＋標定敘事；引 </w:t>
            </w:r>
            <w:r>
              <w:rPr>
                <w:rFonts w:ascii="Times New Roman" w:hAnsi="Times New Roman" w:eastAsia="標楷體"/>
                <w:b w:val="0"/>
                <w:color w:val="1F4EC8"/>
                <w:sz w:val="21"/>
              </w:rPr>
              <w:t>(Barla et al., 2012)</w:t>
            </w:r>
            <w:r>
              <w:rPr>
                <w:rFonts w:ascii="Times New Roman" w:hAnsi="Times New Roman" w:eastAsia="標楷體"/>
                <w:b w:val="0"/>
                <w:sz w:val="21"/>
              </w:rPr>
              <w:t xml:space="preserve"> average-response 免責框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標楷體"/>
                <w:b w:val="0"/>
                <w:sz w:val="21"/>
              </w:rPr>
              <w:t>100m 擺幅 vs 實測 30m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標楷體"/>
                <w:b w:val="0"/>
                <w:sz w:val="21"/>
              </w:rPr>
              <w:t>A2 scope＋needs-based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標楷體"/>
                <w:b w:val="0"/>
                <w:sz w:val="21"/>
              </w:rPr>
              <w:t xml:space="preserve">寫成「極端補注情境」適用域；引 </w:t>
            </w:r>
            <w:r>
              <w:rPr>
                <w:rFonts w:ascii="Times New Roman" w:hAnsi="Times New Roman" w:eastAsia="標楷體"/>
                <w:b w:val="0"/>
                <w:color w:val="1F4EC8"/>
                <w:sz w:val="21"/>
              </w:rPr>
              <w:t>(Tarifard et al., 2022)</w:t>
            </w:r>
            <w:r>
              <w:rPr>
                <w:rFonts w:ascii="Times New Roman" w:hAnsi="Times New Roman" w:eastAsia="標楷體"/>
                <w:b w:val="0"/>
                <w:sz w:val="21"/>
              </w:rPr>
              <w:t xml:space="preserve"> 營運期水位回升需求式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標楷體"/>
                <w:b w:val="0"/>
                <w:sz w:val="21"/>
              </w:rPr>
              <w:t>單案例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標楷體"/>
                <w:b w:val="0"/>
                <w:sz w:val="21"/>
              </w:rPr>
              <w:t>A6 稀缺反轉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標楷體"/>
                <w:b w:val="0"/>
                <w:sz w:val="21"/>
              </w:rPr>
              <w:t>n=1 翻成十年複合監測鏈之資料價值（</w:t>
            </w:r>
            <w:r>
              <w:rPr>
                <w:rFonts w:ascii="Times New Roman" w:hAnsi="Times New Roman" w:eastAsia="標楷體"/>
                <w:b w:val="0"/>
                <w:color w:val="1F4EC8"/>
                <w:sz w:val="21"/>
              </w:rPr>
              <w:t>(Chiu et al., 2017)</w:t>
            </w:r>
            <w:r>
              <w:rPr>
                <w:rFonts w:ascii="Times New Roman" w:hAnsi="Times New Roman" w:eastAsia="標楷體"/>
                <w:b w:val="0"/>
                <w:sz w:val="21"/>
              </w:rPr>
              <w:t xml:space="preserve"> 同招）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標楷體"/>
                <w:b w:val="0"/>
                <w:sz w:val="21"/>
              </w:rPr>
              <w:t>素混凝土 BPM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標楷體"/>
                <w:b w:val="0"/>
                <w:sz w:val="21"/>
              </w:rPr>
              <w:t>A2＋A3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標楷體"/>
                <w:b w:val="0"/>
                <w:sz w:val="21"/>
              </w:rPr>
              <w:t>適用域=無筋/低配筋襯砌；配筋 BPM 入 future work 1:1 鏡像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標楷體"/>
                <w:b w:val="0"/>
                <w:sz w:val="21"/>
              </w:rPr>
              <w:t>現地型態差異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標楷體"/>
                <w:b w:val="0"/>
                <w:sz w:val="21"/>
              </w:rPr>
              <w:t>A9 誠實限定框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標楷體"/>
                <w:b w:val="0"/>
                <w:sz w:val="21"/>
              </w:rPr>
              <w:t>對照層級=分區與帶狀分佈；地震/施工縫分量歸因外部化；</w:t>
            </w:r>
            <w:r>
              <w:rPr>
                <w:rFonts w:ascii="Times New Roman" w:hAnsi="Times New Roman" w:eastAsia="標楷體"/>
                <w:b w:val="0"/>
                <w:color w:val="C00000"/>
                <w:sz w:val="21"/>
              </w:rPr>
              <w:t>圖2</w:t>
            </w:r>
            <w:r>
              <w:rPr>
                <w:rFonts w:ascii="Times New Roman" w:hAnsi="Times New Roman" w:eastAsia="標楷體"/>
                <w:b w:val="0"/>
                <w:color w:val="C00000"/>
                <w:sz w:val="21"/>
              </w:rPr>
              <w:t>圖11</w:t>
            </w:r>
            <w:r>
              <w:rPr>
                <w:rFonts w:ascii="Times New Roman" w:hAnsi="Times New Roman" w:eastAsia="標楷體"/>
                <w:b w:val="0"/>
                <w:sz w:val="21"/>
              </w:rPr>
              <w:t xml:space="preserve"> 同座標讓讀者自檢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標楷體"/>
                <w:b w:val="0"/>
                <w:sz w:val="21"/>
              </w:rPr>
              <w:t>K0=0.7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標楷體"/>
                <w:b w:val="0"/>
                <w:sz w:val="21"/>
              </w:rPr>
              <w:t>A1 引文護盾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標楷體"/>
                <w:b w:val="0"/>
                <w:color w:val="008040"/>
                <w:sz w:val="21"/>
              </w:rPr>
              <w:t>表2</w:t>
            </w:r>
            <w:r>
              <w:rPr>
                <w:rFonts w:ascii="Times New Roman" w:hAnsi="Times New Roman" w:eastAsia="標楷體"/>
                <w:b w:val="0"/>
                <w:sz w:val="21"/>
              </w:rPr>
              <w:t xml:space="preserve"> 出處欄＋一句敏感度；202411 顧問審查回覆佐證</w:t>
            </w:r>
          </w:p>
        </w:tc>
      </w:tr>
    </w:tbl>
    <w:p>
      <w:r>
        <w:rPr>
          <w:rFonts w:ascii="Times New Roman" w:hAnsi="Times New Roman" w:eastAsia="標楷體"/>
          <w:b w:val="0"/>
          <w:sz w:val="24"/>
        </w:rPr>
        <w:t>紅線（反面教材）：①「自己說重要、自己不做」的水矛盾（</w:t>
      </w:r>
      <w:r>
        <w:rPr>
          <w:rFonts w:ascii="Times New Roman" w:hAnsi="Times New Roman" w:eastAsia="標楷體"/>
          <w:b w:val="0"/>
          <w:color w:val="1F4EC8"/>
          <w:sz w:val="24"/>
        </w:rPr>
        <w:t>(Wang et al., 2023)</w:t>
      </w:r>
      <w:r>
        <w:rPr>
          <w:rFonts w:ascii="Times New Roman" w:hAnsi="Times New Roman" w:eastAsia="標楷體"/>
          <w:b w:val="0"/>
          <w:sz w:val="24"/>
        </w:rPr>
        <w:t xml:space="preserve"> 被我們當把柄的錯不可自犯）②路線圖承諾違約③方法缺口當主缺口會被問 so what④讓步句不展開、一行帶過即反轉。</w:t>
      </w:r>
      <w:r>
        <w:rPr>
          <w:rFonts w:ascii="Times New Roman" w:hAnsi="Times New Roman" w:eastAsia="標楷體"/>
          <w:b w:val="0"/>
          <w:sz w:val="24"/>
        </w:rPr>
        <w:t xml:space="preserve">　</w:t>
      </w:r>
      <w:r>
        <w:rPr>
          <w:rFonts w:ascii="Times New Roman" w:hAnsi="Times New Roman" w:eastAsia="標楷體"/>
          <w:b w:val="0"/>
          <w:color w:val="000000"/>
          <w:sz w:val="22"/>
          <w:highlight w:val="yellow"/>
        </w:rPr>
        <w:t>【重點：簡化必須與前言主張自洽】</w:t>
      </w:r>
    </w:p>
    <w:p>
      <w:r>
        <w:rPr>
          <w:rFonts w:ascii="Times New Roman" w:hAnsi="Times New Roman" w:eastAsia="標楷體"/>
          <w:b/>
          <w:sz w:val="28"/>
        </w:rPr>
        <w:t>四、文書規則（本檔示範中）</w:t>
      </w:r>
    </w:p>
    <w:p>
      <w:r>
        <w:rPr>
          <w:rFonts w:ascii="Times New Roman" w:hAnsi="Times New Roman" w:eastAsia="標楷體"/>
          <w:b w:val="0"/>
          <w:sz w:val="24"/>
        </w:rPr>
        <w:t xml:space="preserve">①每段末【重點：…】黃底黑字；②引用一律 author-year 藍字如 </w:t>
      </w:r>
      <w:r>
        <w:rPr>
          <w:rFonts w:ascii="Times New Roman" w:hAnsi="Times New Roman" w:eastAsia="標楷體"/>
          <w:b w:val="0"/>
          <w:color w:val="1F4EC8"/>
          <w:sz w:val="24"/>
        </w:rPr>
        <w:t>(Chiu et al., 2017)</w:t>
      </w:r>
      <w:r>
        <w:rPr>
          <w:rFonts w:ascii="Times New Roman" w:hAnsi="Times New Roman" w:eastAsia="標楷體"/>
          <w:b w:val="0"/>
          <w:sz w:val="24"/>
        </w:rPr>
        <w:t>；③</w:t>
      </w:r>
      <w:r>
        <w:rPr>
          <w:rFonts w:ascii="Times New Roman" w:hAnsi="Times New Roman" w:eastAsia="標楷體"/>
          <w:b w:val="0"/>
          <w:color w:val="C00000"/>
          <w:sz w:val="24"/>
        </w:rPr>
        <w:t>圖XX</w:t>
      </w:r>
      <w:r>
        <w:rPr>
          <w:rFonts w:ascii="Times New Roman" w:hAnsi="Times New Roman" w:eastAsia="標楷體"/>
          <w:b w:val="0"/>
          <w:sz w:val="24"/>
        </w:rPr>
        <w:t xml:space="preserve"> 紅字；④</w:t>
      </w:r>
      <w:r>
        <w:rPr>
          <w:rFonts w:ascii="Times New Roman" w:hAnsi="Times New Roman" w:eastAsia="標楷體"/>
          <w:b w:val="0"/>
          <w:color w:val="008040"/>
          <w:sz w:val="24"/>
        </w:rPr>
        <w:t>表XX</w:t>
      </w:r>
      <w:r>
        <w:rPr>
          <w:rFonts w:ascii="Times New Roman" w:hAnsi="Times New Roman" w:eastAsia="標楷體"/>
          <w:b w:val="0"/>
          <w:sz w:val="24"/>
        </w:rPr>
        <w:t xml:space="preserve"> 綠字；⑤圖領句起段（「</w:t>
      </w:r>
      <w:r>
        <w:rPr>
          <w:rFonts w:ascii="Times New Roman" w:hAnsi="Times New Roman" w:eastAsia="標楷體"/>
          <w:b w:val="0"/>
          <w:color w:val="C00000"/>
          <w:sz w:val="24"/>
        </w:rPr>
        <w:t>圖X</w:t>
      </w:r>
      <w:r>
        <w:rPr>
          <w:rFonts w:ascii="Times New Roman" w:hAnsi="Times New Roman" w:eastAsia="標楷體"/>
          <w:b w:val="0"/>
          <w:sz w:val="24"/>
        </w:rPr>
        <w:t xml:space="preserve"> 為…」）；⑥量化用倍率/區間；⑦段落 150–350 字一段一事；⑧綜合前述句收節。</w:t>
      </w:r>
      <w:r>
        <w:rPr>
          <w:rFonts w:ascii="Times New Roman" w:hAnsi="Times New Roman" w:eastAsia="標楷體"/>
          <w:b w:val="0"/>
          <w:sz w:val="24"/>
        </w:rPr>
        <w:t xml:space="preserve">　</w:t>
      </w:r>
      <w:r>
        <w:rPr>
          <w:rFonts w:ascii="Times New Roman" w:hAnsi="Times New Roman" w:eastAsia="標楷體"/>
          <w:b w:val="0"/>
          <w:color w:val="000000"/>
          <w:sz w:val="22"/>
          <w:highlight w:val="yellow"/>
        </w:rPr>
        <w:t>【重點：與 IJRMMS 前作文書慣例完全對齊】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標楷體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