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摘要與關鍵字（v2；依新題目與缺口短版規則重寫）</w:t>
      </w:r>
    </w:p>
    <w:p>
      <w:r>
        <w:rPr>
          <w:rFonts w:ascii="Times New Roman" w:hAnsi="Times New Roman" w:eastAsia="標楷體"/>
          <w:b w:val="0"/>
          <w:sz w:val="22"/>
        </w:rPr>
        <w:t>規則：摘要第 2–3 句放缺口濃縮版（</w:t>
      </w:r>
      <w:r>
        <w:rPr>
          <w:rFonts w:ascii="Times New Roman" w:hAnsi="Times New Roman" w:eastAsia="標楷體"/>
          <w:b w:val="0"/>
          <w:color w:val="1F4EC8"/>
          <w:sz w:val="22"/>
        </w:rPr>
        <w:t>(Wu et al., 2024)</w:t>
      </w:r>
      <w:r>
        <w:rPr>
          <w:rFonts w:ascii="Times New Roman" w:hAnsi="Times New Roman" w:eastAsia="標楷體"/>
          <w:b w:val="0"/>
          <w:sz w:val="22"/>
        </w:rPr>
        <w:t>「缺口說兩次」戰法）；結尾三分號結論式（前作格式）；不出現方法詞直到中段。</w:t>
      </w:r>
    </w:p>
    <w:p>
      <w:r>
        <w:rPr>
          <w:rFonts w:ascii="Times New Roman" w:hAnsi="Times New Roman" w:eastAsia="標楷體"/>
          <w:b w:val="0"/>
          <w:sz w:val="24"/>
        </w:rPr>
        <w:t>營運中山岳鐵路隧道之襯砌裂縫常與降雨及地下水活動高度相關，然其逐年演化之驅動機制尚缺乏定量解釋；既有研究多以穩態或單調水文情境處理地下水，且連續體模型無法顯式解析裂縫之萌生與擴展。本文以臺灣阿里山林業鐵路某曲線段營運隧道為對象，整合十年裂縫調查（雷射掃描兩期與三期展開圖）、裂縫計監測與水位觀測，建立三維工程地質模型錨定之跨尺度數值鏈——坡地尺度滲流、隧道尺度門檻滯動潛變、襯砌尺度鍵結顆粒離散開裂——重現水位年循環下襯砌損傷之時空發展，並以損傷—勁度回饋初探襯砌劣化之自增強效應。結果顯示：雨峰窗口貢獻約九成之損傷增量，濕季損傷速率為初始乾季之 7.0 倍、退水後降至雨季之 0.5%，水位相位實質控制損傷節律；模擬裂縫呈帶狀分區且以環向為主導，與曲線異狀段現地展開圖對照一致【W1 統計回填】；考慮損傷回饋後 130 天累積損傷達單向分析之 2.83 倍，顯示襯砌劣化評估若忽略互制回饋將顯著低估。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【重點：缺口第2-3句＋三分號結論＋方法詞中段才出現】</w:t>
      </w:r>
    </w:p>
    <w:p>
      <w:r>
        <w:rPr>
          <w:rFonts w:ascii="Times New Roman" w:hAnsi="Times New Roman" w:eastAsia="標楷體"/>
          <w:b/>
          <w:sz w:val="28"/>
        </w:rPr>
        <w:t>關鍵字（5–8；含題目佔位詞）</w:t>
      </w:r>
    </w:p>
    <w:p>
      <w:r>
        <w:rPr>
          <w:rFonts w:ascii="Times New Roman" w:hAnsi="Times New Roman" w:eastAsia="標楷體"/>
          <w:b w:val="0"/>
          <w:sz w:val="24"/>
        </w:rPr>
        <w:t>EN: lining crack evolution; groundwater fluctuation; intermittent time-dependent deformation; operating tunnel; cross-scale simulation; tunnel maintenance</w:t>
      </w:r>
    </w:p>
    <w:p>
      <w:r>
        <w:rPr>
          <w:rFonts w:ascii="Times New Roman" w:hAnsi="Times New Roman" w:eastAsia="標楷體"/>
          <w:b w:val="0"/>
          <w:sz w:val="24"/>
        </w:rPr>
        <w:t>中：襯砌裂縫演化；地下水位循環；滯動依時變形；營運隧道；跨尺度模擬；隧道維養</w:t>
      </w:r>
    </w:p>
    <w:p>
      <w:r>
        <w:rPr>
          <w:rFonts w:ascii="Times New Roman" w:hAnsi="Times New Roman" w:eastAsia="標楷體"/>
          <w:b/>
          <w:color w:val="C00000"/>
          <w:sz w:val="24"/>
        </w:rPr>
        <w:t>【⚖ 待裁決】</w:t>
      </w:r>
      <w:r>
        <w:rPr>
          <w:rFonts w:ascii="Times New Roman" w:hAnsi="Times New Roman" w:eastAsia="標楷體"/>
          <w:b w:val="0"/>
          <w:sz w:val="24"/>
        </w:rPr>
        <w:t>摘要走向？「損傷泵」隱喻是否入摘要末句？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