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2"/>
        </w:rPr>
        <w:t>前言——子節架構</w:t>
      </w:r>
    </w:p>
    <w:p>
      <w:r>
        <w:rPr>
          <w:rFonts w:ascii="Times New Roman" w:hAnsi="Times New Roman" w:eastAsia="標楷體"/>
          <w:b/>
          <w:sz w:val="24"/>
        </w:rPr>
        <w:t>段落結構（5 段）</w:t>
      </w:r>
    </w:p>
    <w:p>
      <w:r>
        <w:rPr>
          <w:rFonts w:ascii="Times New Roman" w:hAnsi="Times New Roman" w:eastAsia="標楷體"/>
          <w:b/>
          <w:sz w:val="24"/>
        </w:rPr>
        <w:t>P1 研究背景：營運山岳隧道老化×極端水文＝維養挑戰；台灣山岳鐵路案例特殊性（文資＋營運中）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L5＋Wang TT 2024</w:t>
      </w:r>
    </w:p>
    <w:p>
      <w:r>
        <w:rPr>
          <w:rFonts w:ascii="Times New Roman" w:hAnsi="Times New Roman" w:eastAsia="標楷體"/>
          <w:b/>
          <w:sz w:val="24"/>
        </w:rPr>
        <w:t>P2 近期研究（水文→襯砌＋依時變形）：降雨/地下水對襯砌載重與劣化；潛變本構與依時變形進展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L1＋L2</w:t>
      </w:r>
    </w:p>
    <w:p>
      <w:r>
        <w:rPr>
          <w:rFonts w:ascii="Times New Roman" w:hAnsi="Times New Roman" w:eastAsia="標楷體"/>
          <w:b/>
          <w:sz w:val="24"/>
        </w:rPr>
        <w:t>P3 近期研究（數值方法）：連續-離散耦合模擬襯砌開裂之發展；跨尺度方法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L3</w:t>
      </w:r>
    </w:p>
    <w:p>
      <w:r>
        <w:rPr>
          <w:rFonts w:ascii="Times New Roman" w:hAnsi="Times New Roman" w:eastAsia="標楷體"/>
          <w:b/>
          <w:sz w:val="24"/>
        </w:rPr>
        <w:t>P4 研究瓶頸（然而…）：①依時變形止於圍岩尺度②隧道–邊坡互制只做地震③水文當靜態工況；皆單向無回饋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L4 收口</w:t>
      </w:r>
    </w:p>
    <w:p>
      <w:r>
        <w:rPr>
          <w:rFonts w:ascii="Times New Roman" w:hAnsi="Times New Roman" w:eastAsia="標楷體"/>
          <w:b/>
          <w:sz w:val="24"/>
        </w:rPr>
        <w:t>P5 目的與貢獻（不同於…）：三層貢獻宣告＋路線圖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—</w:t>
      </w:r>
    </w:p>
    <w:p>
      <w:pPr>
        <w:spacing w:after="240"/>
      </w:pPr>
      <w:r>
        <w:rPr>
          <w:rFonts w:ascii="Times New Roman" w:hAnsi="Times New Roman" w:eastAsia="標楷體"/>
          <w:b/>
          <w:color w:val="C00000"/>
          <w:sz w:val="24"/>
        </w:rPr>
        <w:t>【⚖ 待裁決】</w:t>
      </w:r>
      <w:r>
        <w:rPr>
          <w:rFonts w:ascii="Times New Roman" w:hAnsi="Times New Roman" w:eastAsia="標楷體"/>
          <w:b w:val="0"/>
          <w:sz w:val="24"/>
        </w:rPr>
        <w:t>子節切法與順序？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