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2"/>
        </w:rPr>
        <w:t>前言——Table 規劃</w:t>
      </w:r>
    </w:p>
    <w:p>
      <w:r>
        <w:rPr>
          <w:rFonts w:ascii="Times New Roman" w:hAnsi="Times New Roman" w:eastAsia="標楷體"/>
          <w:b w:val="0"/>
          <w:sz w:val="24"/>
        </w:rPr>
        <w:t>Table 1 文獻案例彙編：8 欄中性矩陣（Author/Case/Lithology/Model/Method/Focus/Issue/Highlight），約 10–12 列；不含 this study 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