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方法各節核心（防禦式寫法）</w:t>
      </w:r>
    </w:p>
    <w:p>
      <w:r>
        <w:rPr>
          <w:rFonts w:ascii="Times New Roman" w:hAnsi="Times New Roman" w:eastAsia="標楷體"/>
          <w:b w:val="0"/>
          <w:sz w:val="23"/>
        </w:rPr>
        <w:t>2.1 開頭即設【建模假設清單】：編號條列（趨勢級 f=0.25、水位面家族情境、K0、邊界處理），每條掛 1–4 篇前例文獻當護盾（</w:t>
      </w:r>
      <w:r>
        <w:rPr>
          <w:rFonts w:ascii="Times New Roman" w:hAnsi="Times New Roman" w:eastAsia="標楷體"/>
          <w:b w:val="0"/>
          <w:color w:val="1F4EC8"/>
          <w:sz w:val="23"/>
        </w:rPr>
        <w:t>(Wu et al., 2024)</w:t>
      </w:r>
      <w:r>
        <w:rPr>
          <w:rFonts w:ascii="Times New Roman" w:hAnsi="Times New Roman" w:eastAsia="標楷體"/>
          <w:b w:val="0"/>
          <w:sz w:val="23"/>
        </w:rPr>
        <w:t xml:space="preserve"> General consideration 式；</w:t>
      </w:r>
      <w:r>
        <w:rPr>
          <w:rFonts w:ascii="Times New Roman" w:hAnsi="Times New Roman" w:eastAsia="標楷體"/>
          <w:b w:val="0"/>
          <w:color w:val="1F4EC8"/>
          <w:sz w:val="23"/>
        </w:rPr>
        <w:t>(Fahimifar &amp; Zareifard, 2009)</w:t>
      </w:r>
      <w:r>
        <w:rPr>
          <w:rFonts w:ascii="Times New Roman" w:hAnsi="Times New Roman" w:eastAsia="標楷體"/>
          <w:b w:val="0"/>
          <w:sz w:val="23"/>
        </w:rPr>
        <w:t xml:space="preserve"> 編號 bullet 式）——先講清楚，之後全文不再道歉。傳遞一致性（Kabsch＋應變檢核&lt;1e-9）寫成可信度主張。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【重點：假設=設定不是懺悔；一次講完不回頭】</w:t>
      </w:r>
    </w:p>
    <w:p>
      <w:r>
        <w:rPr>
          <w:rFonts w:ascii="Times New Roman" w:hAnsi="Times New Roman" w:eastAsia="標楷體"/>
          <w:b w:val="0"/>
          <w:sz w:val="23"/>
        </w:rPr>
        <w:t>2.2 核心：T 不是自由參數——乾季近零活化＝定準錨點（掃描法）；與前作 λ 的關係一句交代（尺度與圍壓域不同）。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【重點：門檻定準法=回應口委的正面設計】</w:t>
      </w:r>
    </w:p>
    <w:p>
      <w:r>
        <w:rPr>
          <w:rFonts w:ascii="Times New Roman" w:hAnsi="Times New Roman" w:eastAsia="標楷體"/>
          <w:b w:val="0"/>
          <w:sz w:val="23"/>
        </w:rPr>
        <w:t>2.3 核心：鍵結斷裂＝微損傷、三軌法聚合成工程裂縫（</w:t>
      </w:r>
      <w:r>
        <w:rPr>
          <w:rFonts w:ascii="Times New Roman" w:hAnsi="Times New Roman" w:eastAsia="標楷體"/>
          <w:b w:val="0"/>
          <w:color w:val="1F4EC8"/>
          <w:sz w:val="23"/>
        </w:rPr>
        <w:t>(Zheng et al., 2024)</w:t>
      </w:r>
      <w:r>
        <w:rPr>
          <w:rFonts w:ascii="Times New Roman" w:hAnsi="Times New Roman" w:eastAsia="標楷體"/>
          <w:b w:val="0"/>
          <w:sz w:val="23"/>
        </w:rPr>
        <w:t xml:space="preserve"> 同型定義）；分母凍結（registry 2.08M）使 D 可跨情境比較；QA（CONTROL-0 基線、gates）一段寫成方法特色。標定敘事引 </w:t>
      </w:r>
      <w:r>
        <w:rPr>
          <w:rFonts w:ascii="Times New Roman" w:hAnsi="Times New Roman" w:eastAsia="標楷體"/>
          <w:b w:val="0"/>
          <w:color w:val="1F4EC8"/>
          <w:sz w:val="23"/>
        </w:rPr>
        <w:t>(Potyondy &amp; Cundall, 2004)</w:t>
      </w:r>
      <w:r>
        <w:rPr>
          <w:rFonts w:ascii="Times New Roman" w:hAnsi="Times New Roman" w:eastAsia="標楷體"/>
          <w:b w:val="0"/>
          <w:color w:val="1F4EC8"/>
          <w:sz w:val="23"/>
        </w:rPr>
        <w:t>(Tsang et al., 2023)</w:t>
      </w:r>
      <w:r>
        <w:rPr>
          <w:rFonts w:ascii="Times New Roman" w:hAnsi="Times New Roman" w:eastAsia="標楷體"/>
          <w:b w:val="0"/>
          <w:sz w:val="23"/>
        </w:rPr>
        <w:t>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【重點：QA 入正文=審稿人最買單的可信度證據】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