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研究方法——Figure 規劃</w:t>
      </w:r>
    </w:p>
    <w:p>
      <w:r>
        <w:rPr>
          <w:rFonts w:ascii="Times New Roman" w:hAnsi="Times New Roman" w:eastAsia="標楷體"/>
          <w:b w:val="0"/>
          <w:sz w:val="24"/>
        </w:rPr>
        <w:t>Fig 4（跨尺度流程＋傳遞）＋Fig 5（三尺度模型三面板）。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