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2"/>
        </w:rPr>
        <w:t>研究方法——段落核心</w:t>
      </w:r>
    </w:p>
    <w:p>
      <w:r>
        <w:rPr>
          <w:rFonts w:ascii="Times New Roman" w:hAnsi="Times New Roman" w:eastAsia="標楷體"/>
          <w:b w:val="0"/>
          <w:sz w:val="24"/>
        </w:rPr>
        <w:t>・2.1 核心：傳遞的『一致性』是方法可信度主張——剛體扣除保證只傳變形功、應變檢核 &lt;1e-9。</w:t>
      </w:r>
    </w:p>
    <w:p>
      <w:r>
        <w:rPr>
          <w:rFonts w:ascii="Times New Roman" w:hAnsi="Times New Roman" w:eastAsia="標楷體"/>
          <w:b w:val="0"/>
          <w:sz w:val="24"/>
        </w:rPr>
        <w:t>・2.2 核心：T 不是自由參數——乾季近零活化＝定準錨點（掃描法），濕季活化由有效應力路徑自然驅動。</w:t>
      </w:r>
    </w:p>
    <w:p>
      <w:r>
        <w:rPr>
          <w:rFonts w:ascii="Times New Roman" w:hAnsi="Times New Roman" w:eastAsia="標楷體"/>
          <w:b w:val="0"/>
          <w:sz w:val="24"/>
        </w:rPr>
        <w:t>・2.3 核心：鍵結斷裂＝微損傷，工程裂縫由三軌法聚合；分母凍結（registry）使 D 可跨情境比較。</w:t>
      </w:r>
    </w:p>
    <w:p>
      <w:r>
        <w:rPr>
          <w:rFonts w:ascii="Times New Roman" w:hAnsi="Times New Roman" w:eastAsia="標楷體"/>
          <w:b w:val="0"/>
          <w:sz w:val="24"/>
        </w:rPr>
        <w:t>・【砍】碩論之解析解回顧、模型系譜、建模過程細節皆不入此章。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