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 w:eastAsia="標楷體"/>
          <w:b/>
          <w:sz w:val="30"/>
        </w:rPr>
        <w:t>案例各節核心（證據三明治佈局）</w:t>
      </w:r>
    </w:p>
    <w:p>
      <w:r>
        <w:rPr>
          <w:rFonts w:ascii="Times New Roman" w:hAnsi="Times New Roman" w:eastAsia="標楷體"/>
          <w:b w:val="0"/>
          <w:sz w:val="23"/>
        </w:rPr>
        <w:t>3.1 核心：水文＝驅動源的證據鏈（實測擺幅→擬合→W 面家族情境）；⚖ 主報告水位/雨量時序仍缺。</w:t>
      </w:r>
      <w:r>
        <w:rPr>
          <w:rFonts w:ascii="Times New Roman" w:hAnsi="Times New Roman" w:eastAsia="標楷體"/>
          <w:b w:val="0"/>
          <w:sz w:val="23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1"/>
          <w:highlight w:val="yellow"/>
        </w:rPr>
        <w:t>【重點：水文證據鏈是 D2 防線的地基】</w:t>
      </w:r>
    </w:p>
    <w:p>
      <w:r>
        <w:rPr>
          <w:rFonts w:ascii="Times New Roman" w:hAnsi="Times New Roman" w:eastAsia="標楷體"/>
          <w:b w:val="0"/>
          <w:sz w:val="23"/>
        </w:rPr>
        <w:t xml:space="preserve">3.2 核心：病徵「分型＋時序」——曲線段 957–992 m 為主對象；學 </w:t>
      </w:r>
      <w:r>
        <w:rPr>
          <w:rFonts w:ascii="Times New Roman" w:hAnsi="Times New Roman" w:eastAsia="標楷體"/>
          <w:b w:val="0"/>
          <w:color w:val="1F4EC8"/>
          <w:sz w:val="23"/>
        </w:rPr>
        <w:t>(Tian et al., 2026)</w:t>
      </w:r>
      <w:r>
        <w:rPr>
          <w:rFonts w:ascii="Times New Roman" w:hAnsi="Times New Roman" w:eastAsia="標楷體"/>
          <w:b w:val="0"/>
          <w:sz w:val="23"/>
        </w:rPr>
        <w:t xml:space="preserve"> 證據三明治：本章擺實測病徵當問題證據，4.3 再回頭「與現地一致」閉環——單一資料集賣兩次（動機＋驗證）。震撼數字 hook 提煉 1 個（如裂縫成長率，</w:t>
      </w:r>
      <w:r>
        <w:rPr>
          <w:rFonts w:ascii="Times New Roman" w:hAnsi="Times New Roman" w:eastAsia="標楷體"/>
          <w:b w:val="0"/>
          <w:color w:val="1F4EC8"/>
          <w:sz w:val="23"/>
        </w:rPr>
        <w:t>(Chiu et al., 2017)</w:t>
      </w:r>
      <w:r>
        <w:rPr>
          <w:rFonts w:ascii="Times New Roman" w:hAnsi="Times New Roman" w:eastAsia="標楷體"/>
          <w:b w:val="0"/>
          <w:sz w:val="23"/>
        </w:rPr>
        <w:t xml:space="preserve"> 54–87 m/180 天式）。109 地震與水文分量並存＝4.3 對照的誠實伏筆。</w:t>
      </w:r>
      <w:r>
        <w:rPr>
          <w:rFonts w:ascii="Times New Roman" w:hAnsi="Times New Roman" w:eastAsia="標楷體"/>
          <w:b w:val="0"/>
          <w:sz w:val="23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1"/>
          <w:highlight w:val="yellow"/>
        </w:rPr>
        <w:t>【重點：分型+時序+一個震撼數字；伏筆先埋】</w:t>
      </w:r>
    </w:p>
    <w:p>
      <w:r>
        <w:rPr>
          <w:rFonts w:ascii="Times New Roman" w:hAnsi="Times New Roman" w:eastAsia="標楷體"/>
          <w:b w:val="0"/>
          <w:sz w:val="23"/>
        </w:rPr>
        <w:t>3.3 核心：每參數有孔號/試驗頁碼（202411 App11/13）；k×100 近壁帶（TT 建議已納）一句交代。</w:t>
      </w:r>
      <w:r>
        <w:rPr>
          <w:rFonts w:ascii="Times New Roman" w:hAnsi="Times New Roman" w:eastAsia="標楷體"/>
          <w:b w:val="0"/>
          <w:sz w:val="23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1"/>
          <w:highlight w:val="yellow"/>
        </w:rPr>
        <w:t>【重點：地質模型是參數出處】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標楷體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