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研究案例——Table 規劃</w:t>
      </w:r>
    </w:p>
    <w:p>
      <w:r>
        <w:rPr>
          <w:rFonts w:ascii="Times New Roman" w:hAnsi="Times New Roman" w:eastAsia="標楷體"/>
          <w:b w:val="0"/>
          <w:sz w:val="24"/>
        </w:rPr>
        <w:t>Table 4（現地調查監測資料彙整：LiDAR 兩期/裂縫計/6 孔鑽探/室內試驗）。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