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數值模擬——子節架構</w:t>
      </w:r>
    </w:p>
    <w:p>
      <w:r>
        <w:rPr>
          <w:rFonts w:ascii="Times New Roman" w:hAnsi="Times New Roman" w:eastAsia="標楷體"/>
          <w:b/>
          <w:sz w:val="24"/>
        </w:rPr>
        <w:t>4.1 水文循環下的坡地–隧道尺度響應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Δpp 檢核；活化區乾衰減/雨爆發/退凍結；Fig6/7/8</w:t>
      </w:r>
    </w:p>
    <w:p>
      <w:r>
        <w:rPr>
          <w:rFonts w:ascii="Times New Roman" w:hAnsi="Times New Roman" w:eastAsia="標楷體"/>
          <w:b/>
          <w:sz w:val="24"/>
        </w:rPr>
        <w:t>4.2 襯砌損傷與裂縫發展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損傷史 A_wet/A_frz（Fig9）→外壓/推力型態（Fig10）→分區與分類＋3D（Fig11/12）</w:t>
      </w:r>
    </w:p>
    <w:p>
      <w:r>
        <w:rPr>
          <w:rFonts w:ascii="Times New Roman" w:hAnsi="Times New Roman" w:eastAsia="標楷體"/>
          <w:b/>
          <w:sz w:val="24"/>
        </w:rPr>
        <w:t>4.3 模擬與現地對照</w:t>
      </w:r>
    </w:p>
    <w:p>
      <w:pPr>
        <w:ind w:left="360"/>
      </w:pPr>
      <w:r>
        <w:rPr>
          <w:rFonts w:ascii="Times New Roman" w:hAnsi="Times New Roman" w:eastAsia="標楷體"/>
          <w:b w:val="0"/>
          <w:sz w:val="22"/>
        </w:rPr>
        <w:t>高損傷帶落點 vs 現地異狀段；同座標展開對照；誠實處理型態差異（D1 防線）</w:t>
      </w:r>
    </w:p>
    <w:p>
      <w:pPr>
        <w:spacing w:after="240"/>
      </w:pPr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子節切法與順序？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