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標楷體"/>
          <w:b/>
          <w:sz w:val="32"/>
        </w:rPr>
        <w:t>結論——段落核心</w:t>
      </w:r>
    </w:p>
    <w:p>
      <w:r>
        <w:rPr>
          <w:rFonts w:ascii="Times New Roman" w:hAnsi="Times New Roman" w:eastAsia="標楷體"/>
          <w:b w:val="0"/>
          <w:sz w:val="24"/>
        </w:rPr>
        <w:t>・首尾呼應：P5 三層貢獻逐一收口；不復述結果數字堆疊，每條一句精華＋一個代表量。</w:t>
      </w:r>
    </w:p>
    <w:p>
      <w:r>
        <w:rPr>
          <w:rFonts w:ascii="Times New Roman" w:hAnsi="Times New Roman" w:eastAsia="標楷體"/>
          <w:b w:val="0"/>
          <w:sz w:val="24"/>
        </w:rPr>
        <w:t>・語級：成功但不自滿——「支持」而非「證明」；限制之後接一句未來展望（L0/敏感度/配筋 BPM）。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