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文章題目、賣點、材料（框架首頁 v1，2026-07-18）</w:t>
      </w:r>
    </w:p>
    <w:p>
      <w:r>
        <w:rPr>
          <w:rFonts w:ascii="Times New Roman" w:hAnsi="Times New Roman" w:eastAsia="標楷體"/>
          <w:b w:val="0"/>
          <w:sz w:val="22"/>
        </w:rPr>
        <w:t>說明：本頁為全文之錨，仿 IJRMMS 前作的框架首頁迭代法——此頁穩定前不動正文。請直接在 Word 中批改、圈選、加註。</w:t>
      </w:r>
    </w:p>
    <w:p>
      <w:r>
        <w:rPr>
          <w:rFonts w:ascii="Times New Roman" w:hAnsi="Times New Roman" w:eastAsia="標楷體"/>
          <w:b/>
          <w:sz w:val="28"/>
        </w:rPr>
        <w:t>一、題目（三選一，可混搭）</w:t>
      </w:r>
    </w:p>
    <w:p>
      <w:r>
        <w:rPr>
          <w:rFonts w:ascii="Times New Roman" w:hAnsi="Times New Roman" w:eastAsia="標楷體"/>
          <w:b/>
          <w:sz w:val="24"/>
        </w:rPr>
        <w:t>T-A（穩健、TUST maintenance 範疇直擊）：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Cross-scale numerical simulation of groundwater-cycle-driven lining cracking in an operating mountain railway tunnel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營運山岳鐵路隧道受地下水循環驅動之襯砌開裂跨尺度數值模擬</w:t>
      </w:r>
    </w:p>
    <w:p>
      <w:r>
        <w:rPr>
          <w:rFonts w:ascii="Times New Roman" w:hAnsi="Times New Roman" w:eastAsia="標楷體"/>
          <w:b/>
          <w:sz w:val="24"/>
        </w:rPr>
        <w:t>T-B（機理隱喻、搶眼）：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Groundwater cycling as a damage pump: cross-scale simulation of intermittent time-dependent lining cracking in a mountain railway tunnel</w:t>
      </w:r>
    </w:p>
    <w:p>
      <w:r>
        <w:rPr>
          <w:rFonts w:ascii="Times New Roman" w:hAnsi="Times New Roman" w:eastAsia="標楷體"/>
          <w:b/>
          <w:sz w:val="24"/>
        </w:rPr>
        <w:t>T-C（方法前置）：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From slope-scale seepage to discrete lining cracks: a cross-scale FDM–DEM simulation of an operating railway tunnel under cyclic groundwater loading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選 T-A / T-B / T-C？或指示混搭方向。（建議 T-A 起跑，T-B 留給討論章概念圖）</w:t>
      </w:r>
    </w:p>
    <w:p>
      <w:r>
        <w:rPr>
          <w:rFonts w:ascii="Times New Roman" w:hAnsi="Times New Roman" w:eastAsia="標楷體"/>
          <w:b/>
          <w:sz w:val="28"/>
        </w:rPr>
        <w:t>二、賣點（5 項，按主打順序）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1：跨尺度因果鏈完整量化：地下水年循環（坡地尺度）→近場滲流→門檻滯動潛變→襯砌離散開裂（單一裂縫級）；三尺度巢狀地質模型錨定＋一致性資料傳遞。文獻中隧道–邊坡互制幾乎全為地震題（Xin 2024; Tian 2026, 皆 TUST），水文驅動跨尺度鏈為空白。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2：滯動機制之襯砌尺度延伸：前作（IJRMMS, in review）建立圍岩尺度滯動理論，本文推進到「滯動→襯砌損傷節律」：雨峰爆發 A_wet=7.0、退水凍結 A_frz=0.0046、濕窗貢獻 91% 損傷。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3：BPM 離散襯砌之裂縫型態學：2.08M 鍵結無配筋 RC 襯砌，重現裂縫帶狀分區＋三軌型態分類，並與現地 LiDAR 展開圖同座標對照。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4：雙向損傷回饋初探（放討論章）：D(s,y)→E 割線勁度回饋之 5 天交替分區耦合，day-130 損傷達單向 2.83×；力回饋過定性論證（Picard 發散實證）本身即方法貢獻。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賣點 5：維養決策視角（TUST 甜蜜點）：真實營運隧道＋分級調查制度＋水位監測 → 「地下水位管理＝襯砌損傷管理」。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五條賣點之措辭與排序？（前作經驗：賣點是被改最多次的元素，請大方下刀）</w:t>
      </w:r>
    </w:p>
    <w:p>
      <w:r>
        <w:rPr>
          <w:rFonts w:ascii="Times New Roman" w:hAnsi="Times New Roman" w:eastAsia="標楷體"/>
          <w:b/>
          <w:sz w:val="28"/>
        </w:rPr>
        <w:t>三、材料（5 項食材）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1：修正力學模式（門檻黏彈塑 Burgers-Mohr，λ≡T 開關；s1 門檻掃描定準法）——引前作、只寫差異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2：三維工程地質模型（坡地 4 層／隧道 6 層／互制模型；340 m 鑽探＋岩心＋室內試驗給出處——202411 附錄 11/12/13）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3：真實案例資料（#46 隧道 1233 m、R=50 曲線：LiDAR 全斷面兩期、三期異狀展開圖、裂縫計 110–112 持續緩剪、112 年修復履歷、0403 地震後新裂縫）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4：單向弱耦合定版成果（05 v6：11 階段 130 天、37,980 斷鍵、環199/斜19/縱3 m、外壓 946 kPa、左肩推力 1,029 kN/m）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材料 5：雙向強耦合鏈（06 T5：26×5 天交替、D→E 回饋、107,479 斷鍵=2.83×、逐 tick 全紀錄）</w:t>
      </w:r>
    </w:p>
    <w:p>
      <w:r>
        <w:rPr>
          <w:rFonts w:ascii="Times New Roman" w:hAnsi="Times New Roman" w:eastAsia="標楷體"/>
          <w:b/>
          <w:sz w:val="28"/>
        </w:rPr>
        <w:t>四、討論要點（5 項）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・雙向 vs 單向放大之組成（回饋效應 vs 細時距路徑效應；L0 對照鏈拆解）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・門檻 T 的物理意義與定準敏感度（回應口委黃老師；與前作 λ≈0.4 之尺度差異論述）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・水位擺幅情境（實測 ~30 m vs 模擬 100 m 之情境放大論證）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・f=0.25 縮尺與趨勢級解讀邊界</w:t>
      </w:r>
    </w:p>
    <w:p>
      <w:pPr>
        <w:ind w:left="360"/>
      </w:pPr>
      <w:r>
        <w:rPr>
          <w:rFonts w:ascii="Times New Roman" w:hAnsi="Times New Roman" w:eastAsia="標楷體"/>
          <w:b w:val="0"/>
          <w:sz w:val="24"/>
        </w:rPr>
        <w:t>・水位管理＝損傷管理（滯動泵概念收尾）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