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摘要與關鍵字（v0 草案）</w:t>
      </w:r>
    </w:p>
    <w:p>
      <w:r>
        <w:rPr>
          <w:rFonts w:ascii="Times New Roman" w:hAnsi="Times New Roman" w:eastAsia="標楷體"/>
          <w:b w:val="0"/>
          <w:sz w:val="22"/>
        </w:rPr>
        <w:t>格式依前作：單段 ~450 字元，問題→缺口→方法→案例→「結果顯示」＋三個分號結論。數字待 L0 對照與終版圖表定案後回填（【】為佔位）。</w:t>
      </w:r>
    </w:p>
    <w:p>
      <w:r>
        <w:rPr>
          <w:rFonts w:ascii="Times New Roman" w:hAnsi="Times New Roman" w:eastAsia="標楷體"/>
          <w:b w:val="0"/>
          <w:sz w:val="24"/>
        </w:rPr>
        <w:t>營運中山岳隧道之襯砌開裂與地下水活動密切相關，然而現行依時變形研究多止於圍岩尺度，且隧道與坡地系統之互制分析多僅考慮地震荷載，長期水文循環驅動之襯砌損傷機制尚缺乏跨尺度之量化途徑。本文以阿里山林業鐵路某曲線段隧道為案例，建立坡地尺度滲流—隧道尺度門檻滯動潛變—襯砌尺度離散開裂之三尺度單向傳遞鏈，並以損傷—勁度回饋之交替耦合初探襯砌劣化之自增強效應；模型以三維工程地質模型錨定，材料參數具鑽探與室內試驗出處，模擬結果與現地雷射掃描裂縫展開圖同座標對照。結果顯示：雨峰窗口貢獻約九成之襯砌損傷增量，濕季損傷速率為初始乾季之 7.0 倍、退水後降至雨季之 0.5%，水位相位實質控制損傷節律；模擬裂縫呈帶狀分區且以環向為主導，與曲線異狀段之現地展開圖對照【吻合度敘述待 W1 統計】；雙向損傷回饋使 130 天累積損傷達單向之 2.83 倍，顯示襯砌劣化評估若忽略互制回饋將顯著低估【比例待 L0 分解】。</w:t>
      </w:r>
    </w:p>
    <w:p>
      <w:r>
        <w:rPr>
          <w:rFonts w:ascii="Times New Roman" w:hAnsi="Times New Roman" w:eastAsia="標楷體"/>
          <w:b/>
          <w:sz w:val="28"/>
        </w:rPr>
        <w:t>關鍵字（5–8）</w:t>
      </w:r>
    </w:p>
    <w:p>
      <w:r>
        <w:rPr>
          <w:rFonts w:ascii="Times New Roman" w:hAnsi="Times New Roman" w:eastAsia="標楷體"/>
          <w:b w:val="0"/>
          <w:sz w:val="24"/>
        </w:rPr>
        <w:t>中：跨尺度數值模擬；襯砌開裂；地下水位循環；滯動潛變；FDM–DEM 耦合；隧道維養</w:t>
      </w:r>
    </w:p>
    <w:p>
      <w:r>
        <w:rPr>
          <w:rFonts w:ascii="Times New Roman" w:hAnsi="Times New Roman" w:eastAsia="標楷體"/>
          <w:b w:val="0"/>
          <w:sz w:val="24"/>
        </w:rPr>
        <w:t>EN: cross-scale simulation; lining cracking; groundwater cycling; intermittent creep; FDM–DEM coupling; tunnel maintenance</w:t>
      </w:r>
    </w:p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摘要走向與關鍵字組合？（「損傷泵」一詞是否入摘要？）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