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Times New Roman" w:hAnsi="Times New Roman" w:eastAsia="標楷體"/>
          <w:b/>
          <w:sz w:val="32"/>
        </w:rPr>
        <w:t>前言——段落核心</w:t>
      </w:r>
    </w:p>
    <w:p>
      <w:r>
        <w:rPr>
          <w:rFonts w:ascii="Times New Roman" w:hAnsi="Times New Roman" w:eastAsia="標楷體"/>
          <w:b w:val="0"/>
          <w:sz w:val="24"/>
        </w:rPr>
        <w:t>・P1 核心句：襯砌裂縫不是靜態缺陷，而是水文循環驅動下持續演化的損傷過程——營運中山岳隧道的維養須理解其節律。</w:t>
      </w:r>
    </w:p>
    <w:p>
      <w:r>
        <w:rPr>
          <w:rFonts w:ascii="Times New Roman" w:hAnsi="Times New Roman" w:eastAsia="標楷體"/>
          <w:b w:val="0"/>
          <w:sz w:val="24"/>
        </w:rPr>
        <w:t>・P2 核心句：現有研究已確認水對襯砌載重與依時變形的個別影響，但多為單尺度、單向、靜態工況之處理。</w:t>
      </w:r>
    </w:p>
    <w:p>
      <w:r>
        <w:rPr>
          <w:rFonts w:ascii="Times New Roman" w:hAnsi="Times New Roman" w:eastAsia="標楷體"/>
          <w:b w:val="0"/>
          <w:sz w:val="24"/>
        </w:rPr>
        <w:t>・P3 核心句：連續-離散耦合已能模擬襯砌開裂，然與坡地尺度水文過程之銜接尚無先例。</w:t>
      </w:r>
    </w:p>
    <w:p>
      <w:r>
        <w:rPr>
          <w:rFonts w:ascii="Times New Roman" w:hAnsi="Times New Roman" w:eastAsia="標楷體"/>
          <w:b w:val="0"/>
          <w:sz w:val="24"/>
        </w:rPr>
        <w:t>・P4 缺口句（然而）：三缺口逐一點名，各以文獻收尾。</w:t>
      </w:r>
    </w:p>
    <w:p>
      <w:r>
        <w:rPr>
          <w:rFonts w:ascii="Times New Roman" w:hAnsi="Times New Roman" w:eastAsia="標楷體"/>
          <w:b w:val="0"/>
          <w:sz w:val="24"/>
        </w:rPr>
        <w:t>・P5 貢獻句（不同於…突破…）：跨尺度鏈＋滯動襯砌延伸＋雙向回饋初探。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標楷體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