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研究方法——子節架構</w:t>
      </w:r>
    </w:p>
    <w:p>
      <w:r>
        <w:rPr>
          <w:rFonts w:ascii="Times New Roman" w:hAnsi="Times New Roman" w:eastAsia="標楷體"/>
          <w:b/>
          <w:sz w:val="24"/>
        </w:rPr>
        <w:t>2.1 跨尺度架構與資料傳遞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三尺度巢狀概念（Fig4）；Kabsch＋應變檢核；f 縮尺趨勢級定位（防線前置）</w:t>
      </w:r>
    </w:p>
    <w:p>
      <w:r>
        <w:rPr>
          <w:rFonts w:ascii="Times New Roman" w:hAnsi="Times New Roman" w:eastAsia="標楷體"/>
          <w:b/>
          <w:sz w:val="24"/>
        </w:rPr>
        <w:t>2.2 門檻滯動潛變模式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引前作；只寫差異：T 門檻掃描定準法、s1 T=1.0 物理錨點</w:t>
      </w:r>
    </w:p>
    <w:p>
      <w:r>
        <w:rPr>
          <w:rFonts w:ascii="Times New Roman" w:hAnsi="Times New Roman" w:eastAsia="標楷體"/>
          <w:b/>
          <w:sz w:val="24"/>
        </w:rPr>
        <w:t>2.3 BPM 襯砌與損傷量化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G4 鑄造一句；錨定帶；D=斷鍵/registry；三軌分類；QA 一段</w:t>
      </w:r>
    </w:p>
    <w:p>
      <w:r>
        <w:rPr>
          <w:rFonts w:ascii="Times New Roman" w:hAnsi="Times New Roman" w:eastAsia="標楷體"/>
          <w:b/>
          <w:sz w:val="24"/>
        </w:rPr>
        <w:t>（2.4 雙向：不設節）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Ch2 末一句預告，全部內容在 5.1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