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研究案例——Figure 規劃</w:t>
      </w:r>
    </w:p>
    <w:p>
      <w:r>
        <w:rPr>
          <w:rFonts w:ascii="Times New Roman" w:hAnsi="Times New Roman" w:eastAsia="標楷體"/>
          <w:b w:val="0"/>
          <w:sz w:val="24"/>
        </w:rPr>
        <w:t>Fig 1（場址綜覽，新繪）＋Fig 2（現地病徵時序）＋Fig 3（水文驅動）。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